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590846843"/>
        <w:docPartObj>
          <w:docPartGallery w:val="Cover Pages"/>
          <w:docPartUnique/>
        </w:docPartObj>
      </w:sdtPr>
      <w:sdtEndPr/>
      <w:sdtContent>
        <w:p w14:paraId="44AF9995" w14:textId="77777777" w:rsidR="00DD3BBF" w:rsidRPr="00BB7217" w:rsidRDefault="00DD3BBF" w:rsidP="00DF7C33"/>
        <w:p w14:paraId="1FA3B9FB" w14:textId="49AA71BA" w:rsidR="00DD3BBF" w:rsidRPr="00BB7217" w:rsidRDefault="00DD3BBF" w:rsidP="00DF7C33">
          <w:r w:rsidRPr="00BB7217">
            <w:rPr>
              <w:noProof/>
              <w:lang w:val="en-US"/>
            </w:rPr>
            <mc:AlternateContent>
              <mc:Choice Requires="wps">
                <w:drawing>
                  <wp:anchor distT="0" distB="0" distL="114300" distR="114300" simplePos="0" relativeHeight="251659264" behindDoc="0" locked="0" layoutInCell="1" allowOverlap="1" wp14:anchorId="3CEA0C3A" wp14:editId="013E4911">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14:paraId="337B1D24" w14:textId="77777777" w:rsidR="004C100B" w:rsidRDefault="004C100B">
                                    <w:pPr>
                                      <w:pStyle w:val="NoSpacing"/>
                                      <w:jc w:val="right"/>
                                      <w:rPr>
                                        <w:color w:val="FFFFFF" w:themeColor="background1"/>
                                        <w:sz w:val="24"/>
                                        <w:szCs w:val="24"/>
                                      </w:rPr>
                                    </w:pPr>
                                    <w:r>
                                      <w:rPr>
                                        <w:color w:val="FFFFFF" w:themeColor="background1"/>
                                        <w:sz w:val="24"/>
                                        <w:szCs w:val="24"/>
                                      </w:rPr>
                                      <w:t>XI 2016</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3CEA0C3A" id="Rectangle 132" o:spid="_x0000_s1026"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" fillcolor="#5b9bd5 [3204]" stroked="f" strokeweight="1pt">
                    <v:path arrowok="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14:paraId="337B1D24" w14:textId="77777777" w:rsidR="004C100B" w:rsidRDefault="004C100B">
                              <w:pPr>
                                <w:pStyle w:val="NoSpacing"/>
                                <w:jc w:val="right"/>
                                <w:rPr>
                                  <w:color w:val="FFFFFF" w:themeColor="background1"/>
                                  <w:sz w:val="24"/>
                                  <w:szCs w:val="24"/>
                                </w:rPr>
                              </w:pPr>
                              <w:r>
                                <w:rPr>
                                  <w:color w:val="FFFFFF" w:themeColor="background1"/>
                                  <w:sz w:val="24"/>
                                  <w:szCs w:val="24"/>
                                </w:rPr>
                                <w:t>XI 2016</w:t>
                              </w:r>
                            </w:p>
                          </w:sdtContent>
                        </w:sdt>
                      </w:txbxContent>
                    </v:textbox>
                    <w10:wrap anchorx="margin" anchory="page"/>
                  </v:rect>
                </w:pict>
              </mc:Fallback>
            </mc:AlternateContent>
          </w:r>
        </w:p>
        <w:p w14:paraId="67228548" w14:textId="77777777" w:rsidR="00DD3BBF" w:rsidRPr="00BB7217" w:rsidRDefault="00DD3BBF" w:rsidP="00DF7C33"/>
        <w:p w14:paraId="326016B7" w14:textId="77777777" w:rsidR="00DD3BBF" w:rsidRPr="00BB7217" w:rsidRDefault="00DD3BBF" w:rsidP="00DF7C33"/>
        <w:p w14:paraId="2B54321D" w14:textId="77777777" w:rsidR="00DD3BBF" w:rsidRPr="00BB7217" w:rsidRDefault="00DD3BBF" w:rsidP="00DF7C33"/>
        <w:p w14:paraId="58134EE3" w14:textId="77777777" w:rsidR="00DD3BBF" w:rsidRPr="00BB7217" w:rsidRDefault="00DD3BBF" w:rsidP="00DF7C33"/>
        <w:p w14:paraId="77C637D3" w14:textId="77777777" w:rsidR="00DD3BBF" w:rsidRPr="00BB7217" w:rsidRDefault="00DD3BBF" w:rsidP="00DF7C33"/>
        <w:p w14:paraId="0A587FEF" w14:textId="77777777" w:rsidR="00DD3BBF" w:rsidRPr="00BB7217" w:rsidRDefault="00DD3BBF" w:rsidP="00DF7C33"/>
        <w:p w14:paraId="0030A50E" w14:textId="77777777" w:rsidR="00DD3BBF" w:rsidRPr="00BB7217" w:rsidRDefault="00DD3BBF" w:rsidP="00DF7C33"/>
        <w:p w14:paraId="6538CA86" w14:textId="77777777" w:rsidR="00DD3BBF" w:rsidRPr="00BB7217" w:rsidRDefault="00DD3BBF" w:rsidP="00DF7C33"/>
        <w:p w14:paraId="4EBE589D" w14:textId="77777777" w:rsidR="00DD3BBF" w:rsidRPr="00BB7217" w:rsidRDefault="00DD3BBF" w:rsidP="00DF7C33"/>
        <w:p w14:paraId="775A5067" w14:textId="77777777" w:rsidR="00DD3BBF" w:rsidRPr="00BB7217" w:rsidRDefault="00DD3BBF" w:rsidP="00DF7C33"/>
        <w:p w14:paraId="5ECB89A9" w14:textId="77777777" w:rsidR="00DD3BBF" w:rsidRPr="00BB7217" w:rsidRDefault="00DD3BBF" w:rsidP="00DF7C33"/>
        <w:p w14:paraId="416CF72E" w14:textId="77777777" w:rsidR="00DD3BBF" w:rsidRPr="00BB7217" w:rsidRDefault="00DD3BBF" w:rsidP="00DF7C33"/>
        <w:p w14:paraId="2C000415" w14:textId="77777777" w:rsidR="00772FC9" w:rsidRPr="00BB7217" w:rsidRDefault="00772FC9" w:rsidP="00DF7C33">
          <w:r w:rsidRPr="00BB7217">
            <w:rPr>
              <w:noProof/>
              <w:lang w:val="en-US"/>
            </w:rPr>
            <mc:AlternateContent>
              <mc:Choice Requires="wps">
                <w:drawing>
                  <wp:inline distT="0" distB="0" distL="0" distR="0" wp14:anchorId="597DA2C0" wp14:editId="23C2A257">
                    <wp:extent cx="4956175" cy="2088515"/>
                    <wp:effectExtent l="0" t="0" r="0" b="1270"/>
                    <wp:docPr id="131" name="Text Box 131"/>
                    <wp:cNvGraphicFramePr/>
                    <a:graphic xmlns:a="http://schemas.openxmlformats.org/drawingml/2006/main">
                      <a:graphicData uri="http://schemas.microsoft.com/office/word/2010/wordprocessingShape">
                        <wps:wsp>
                          <wps:cNvSpPr txBox="1"/>
                          <wps:spPr>
                            <a:xfrm>
                              <a:off x="0" y="0"/>
                              <a:ext cx="4956175" cy="2088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F8F1B4" w14:textId="7CCA7FF4" w:rsidR="004C100B" w:rsidRPr="00772FC9" w:rsidRDefault="000F4B5C" w:rsidP="00772FC9">
                                <w:pPr>
                                  <w:pStyle w:val="NoSpacing"/>
                                  <w:spacing w:before="40" w:after="560" w:line="216" w:lineRule="auto"/>
                                  <w:rPr>
                                    <w:color w:val="5B9BD5" w:themeColor="accent1"/>
                                    <w:sz w:val="56"/>
                                    <w:szCs w:val="72"/>
                                  </w:rPr>
                                </w:pPr>
                                <w:sdt>
                                  <w:sdtPr>
                                    <w:rPr>
                                      <w:color w:val="5B9BD5" w:themeColor="accent1"/>
                                      <w:sz w:val="56"/>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4C100B" w:rsidRPr="00772FC9">
                                      <w:rPr>
                                        <w:color w:val="5B9BD5" w:themeColor="accent1"/>
                                        <w:sz w:val="56"/>
                                        <w:szCs w:val="72"/>
                                        <w:lang w:val="sr-Cyrl-RS"/>
                                      </w:rPr>
                                      <w:t>Стручно-техничка основа (модел) за објављивање документације и информације инспекцијских служби</w:t>
                                    </w:r>
                                  </w:sdtContent>
                                </w:sdt>
                              </w:p>
                              <w:sdt>
                                <w:sdtPr>
                                  <w:rPr>
                                    <w:caps/>
                                    <w:color w:val="1F3864"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155D39F2" w14:textId="3488BD20" w:rsidR="004C100B" w:rsidRDefault="004C100B">
                                    <w:pPr>
                                      <w:pStyle w:val="NoSpacing"/>
                                      <w:spacing w:before="40" w:after="40"/>
                                      <w:rPr>
                                        <w:caps/>
                                        <w:color w:val="1F3864" w:themeColor="accent5" w:themeShade="80"/>
                                        <w:sz w:val="28"/>
                                        <w:szCs w:val="28"/>
                                      </w:rPr>
                                    </w:pPr>
                                    <w:r>
                                      <w:rPr>
                                        <w:caps/>
                                        <w:color w:val="1F3864" w:themeColor="accent5" w:themeShade="80"/>
                                        <w:sz w:val="28"/>
                                        <w:szCs w:val="28"/>
                                        <w:lang w:val="sr-Cyrl-RS"/>
                                      </w:rPr>
                                      <w:t xml:space="preserve">Пројекат: </w:t>
                                    </w:r>
                                    <w:r w:rsidRPr="00772FC9">
                                      <w:rPr>
                                        <w:caps/>
                                        <w:color w:val="1F3864" w:themeColor="accent5" w:themeShade="80"/>
                                        <w:sz w:val="28"/>
                                        <w:szCs w:val="28"/>
                                      </w:rPr>
                                      <w:t>Унапређење унутрашње организације послова инспекција</w:t>
                                    </w:r>
                                  </w:p>
                                </w:sdtContent>
                              </w:sdt>
                              <w:p w14:paraId="3484AB31" w14:textId="138A2066" w:rsidR="004C100B" w:rsidRDefault="004C100B">
                                <w:pPr>
                                  <w:pStyle w:val="NoSpacing"/>
                                  <w:spacing w:before="80" w:after="40"/>
                                  <w:rPr>
                                    <w:caps/>
                                    <w:color w:val="4472C4"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597DA2C0" id="_x0000_t202" coordsize="21600,21600" o:spt="202" path="m,l,21600r21600,l21600,xe">
                    <v:stroke joinstyle="miter"/>
                    <v:path gradientshapeok="t" o:connecttype="rect"/>
                  </v:shapetype>
                  <v:shape id="Text Box 131" o:spid="_x0000_s1027" type="#_x0000_t202" style="width:390.25pt;height:16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" filled="f" stroked="f" strokeweight=".5pt">
                    <v:textbox style="mso-fit-shape-to-text:t" inset="0,0,0,0">
                      <w:txbxContent>
                        <w:p w14:paraId="1CF8F1B4" w14:textId="7CCA7FF4" w:rsidR="004C100B" w:rsidRPr="00772FC9" w:rsidRDefault="000F4B5C" w:rsidP="00772FC9">
                          <w:pPr>
                            <w:pStyle w:val="NoSpacing"/>
                            <w:spacing w:before="40" w:after="560" w:line="216" w:lineRule="auto"/>
                            <w:rPr>
                              <w:color w:val="5B9BD5" w:themeColor="accent1"/>
                              <w:sz w:val="56"/>
                              <w:szCs w:val="72"/>
                            </w:rPr>
                          </w:pPr>
                          <w:sdt>
                            <w:sdtPr>
                              <w:rPr>
                                <w:color w:val="5B9BD5" w:themeColor="accent1"/>
                                <w:sz w:val="56"/>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4C100B" w:rsidRPr="00772FC9">
                                <w:rPr>
                                  <w:color w:val="5B9BD5" w:themeColor="accent1"/>
                                  <w:sz w:val="56"/>
                                  <w:szCs w:val="72"/>
                                  <w:lang w:val="sr-Cyrl-RS"/>
                                </w:rPr>
                                <w:t>Стручно-техничка основа (модел) за објављивање документације и информације инспекцијских служби</w:t>
                              </w:r>
                            </w:sdtContent>
                          </w:sdt>
                        </w:p>
                        <w:sdt>
                          <w:sdtPr>
                            <w:rPr>
                              <w:caps/>
                              <w:color w:val="1F3864"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155D39F2" w14:textId="3488BD20" w:rsidR="004C100B" w:rsidRDefault="004C100B">
                              <w:pPr>
                                <w:pStyle w:val="NoSpacing"/>
                                <w:spacing w:before="40" w:after="40"/>
                                <w:rPr>
                                  <w:caps/>
                                  <w:color w:val="1F3864" w:themeColor="accent5" w:themeShade="80"/>
                                  <w:sz w:val="28"/>
                                  <w:szCs w:val="28"/>
                                </w:rPr>
                              </w:pPr>
                              <w:r>
                                <w:rPr>
                                  <w:caps/>
                                  <w:color w:val="1F3864" w:themeColor="accent5" w:themeShade="80"/>
                                  <w:sz w:val="28"/>
                                  <w:szCs w:val="28"/>
                                  <w:lang w:val="sr-Cyrl-RS"/>
                                </w:rPr>
                                <w:t xml:space="preserve">Пројекат: </w:t>
                              </w:r>
                              <w:r w:rsidRPr="00772FC9">
                                <w:rPr>
                                  <w:caps/>
                                  <w:color w:val="1F3864" w:themeColor="accent5" w:themeShade="80"/>
                                  <w:sz w:val="28"/>
                                  <w:szCs w:val="28"/>
                                </w:rPr>
                                <w:t>Унапређење унутрашње организације послова инспекција</w:t>
                              </w:r>
                            </w:p>
                          </w:sdtContent>
                        </w:sdt>
                        <w:p w14:paraId="3484AB31" w14:textId="138A2066" w:rsidR="004C100B" w:rsidRDefault="004C100B">
                          <w:pPr>
                            <w:pStyle w:val="NoSpacing"/>
                            <w:spacing w:before="80" w:after="40"/>
                            <w:rPr>
                              <w:caps/>
                              <w:color w:val="4472C4" w:themeColor="accent5"/>
                              <w:sz w:val="24"/>
                              <w:szCs w:val="24"/>
                            </w:rPr>
                          </w:pPr>
                        </w:p>
                      </w:txbxContent>
                    </v:textbox>
                    <w10:anchorlock/>
                  </v:shape>
                </w:pict>
              </mc:Fallback>
            </mc:AlternateContent>
          </w:r>
        </w:p>
        <w:p w14:paraId="7CDAB593" w14:textId="77777777" w:rsidR="00772FC9" w:rsidRDefault="00772FC9" w:rsidP="00DF7C33"/>
        <w:p w14:paraId="5BC29FF1" w14:textId="77777777" w:rsidR="00E36F83" w:rsidRDefault="00E36F83" w:rsidP="00DF7C33"/>
        <w:p w14:paraId="0E46DB21" w14:textId="77777777" w:rsidR="00E36F83" w:rsidRDefault="00E36F83" w:rsidP="00DF7C33"/>
        <w:p w14:paraId="4F513776" w14:textId="77777777" w:rsidR="00E36F83" w:rsidRDefault="00E36F83" w:rsidP="00DF7C33"/>
        <w:p w14:paraId="79C985BA" w14:textId="77777777" w:rsidR="00E36F83" w:rsidRDefault="00E36F83" w:rsidP="00DF7C33"/>
        <w:p w14:paraId="431C24EF" w14:textId="77777777" w:rsidR="00E36F83" w:rsidRDefault="00E36F83" w:rsidP="00DF7C33"/>
        <w:p w14:paraId="29C1C21D" w14:textId="77777777" w:rsidR="00E36F83" w:rsidRDefault="00E36F83" w:rsidP="00DF7C33"/>
        <w:p w14:paraId="09408B7C" w14:textId="77777777" w:rsidR="00E36F83" w:rsidRDefault="00E36F83" w:rsidP="00DF7C33"/>
        <w:p w14:paraId="0C33C953" w14:textId="77777777" w:rsidR="00E36F83" w:rsidRDefault="00E36F83" w:rsidP="00DF7C33"/>
        <w:p w14:paraId="39BF2E40" w14:textId="77777777" w:rsidR="00E36F83" w:rsidRDefault="00E36F83" w:rsidP="00DF7C33"/>
        <w:p w14:paraId="765E1075" w14:textId="77777777" w:rsidR="00E36F83" w:rsidRDefault="00E36F83" w:rsidP="00DF7C33"/>
        <w:p w14:paraId="11AA5616" w14:textId="77777777" w:rsidR="00E36F83" w:rsidRDefault="00E36F83" w:rsidP="00DF7C33"/>
        <w:p w14:paraId="4EB54DF4" w14:textId="77777777" w:rsidR="00E36F83" w:rsidRDefault="00E36F83" w:rsidP="00DF7C33"/>
        <w:p w14:paraId="1C7C59D1" w14:textId="77777777" w:rsidR="00E36F83" w:rsidRDefault="00E36F83" w:rsidP="00DF7C33"/>
        <w:p w14:paraId="698E6809" w14:textId="77777777" w:rsidR="00E36F83" w:rsidRPr="00BB7217" w:rsidRDefault="00E36F83" w:rsidP="00DF7C33"/>
        <w:sdt>
          <w:sdtPr>
            <w:rPr>
              <w:caps/>
              <w:color w:val="4472C4"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Content>
            <w:p w14:paraId="79947043" w14:textId="77777777" w:rsidR="00430CE1" w:rsidRDefault="00430CE1" w:rsidP="00430CE1">
              <w:pPr>
                <w:pStyle w:val="NoSpacing"/>
                <w:spacing w:before="80" w:after="40"/>
                <w:rPr>
                  <w:rFonts w:ascii="Times New Roman" w:eastAsiaTheme="minorHAnsi" w:hAnsi="Times New Roman" w:cs="Times New Roman"/>
                  <w:caps/>
                  <w:color w:val="4472C4" w:themeColor="accent5"/>
                  <w:sz w:val="24"/>
                  <w:szCs w:val="24"/>
                  <w:lang w:val="sr-Cyrl-RS"/>
                </w:rPr>
              </w:pPr>
              <w:r>
                <w:rPr>
                  <w:caps/>
                  <w:color w:val="4472C4" w:themeColor="accent5"/>
                  <w:sz w:val="24"/>
                  <w:szCs w:val="24"/>
                  <w:lang w:val="sr-Cyrl-RS"/>
                </w:rPr>
                <w:t>Аутор: Александар Ивић</w:t>
              </w:r>
            </w:p>
          </w:sdtContent>
        </w:sdt>
        <w:p w14:paraId="76E52642" w14:textId="4EA3C09C" w:rsidR="00E36F83" w:rsidRDefault="00430CE1" w:rsidP="00430CE1">
          <w:pPr>
            <w:spacing w:after="160" w:line="259" w:lineRule="auto"/>
          </w:pPr>
          <w:r>
            <w:t xml:space="preserve"> </w:t>
          </w:r>
          <w:r w:rsidR="00E36F83">
            <w:br w:type="page"/>
          </w:r>
        </w:p>
        <w:p w14:paraId="024655DD" w14:textId="77777777" w:rsidR="00772FC9" w:rsidRPr="00BB7217" w:rsidRDefault="00772FC9" w:rsidP="00DF7C33"/>
        <w:p w14:paraId="2CA9C3BF" w14:textId="17A96B14" w:rsidR="00772FC9" w:rsidRPr="00BB7217" w:rsidRDefault="000F4B5C" w:rsidP="00DF7C33"/>
      </w:sdtContent>
    </w:sdt>
    <w:p w14:paraId="08D13641" w14:textId="7A76D47D" w:rsidR="006E21F1" w:rsidRPr="00BB7217" w:rsidRDefault="006E21F1" w:rsidP="00DF7C33"/>
    <w:p w14:paraId="5D1B202C" w14:textId="377C94FE" w:rsidR="00DD3BBF" w:rsidRPr="00BB7217" w:rsidRDefault="00DD3BBF" w:rsidP="00DF7C33"/>
    <w:p w14:paraId="74AE198A" w14:textId="0C8B25BA" w:rsidR="00DD3BBF" w:rsidRPr="00BB7217" w:rsidRDefault="00E90122" w:rsidP="00DF7C33">
      <w:r w:rsidRPr="00BB7217">
        <w:t>Скраћенице</w:t>
      </w:r>
    </w:p>
    <w:tbl>
      <w:tblPr>
        <w:tblStyle w:val="TableGrid"/>
        <w:tblW w:w="0" w:type="auto"/>
        <w:tblLook w:val="04A0" w:firstRow="1" w:lastRow="0" w:firstColumn="1" w:lastColumn="0" w:noHBand="0" w:noVBand="1"/>
      </w:tblPr>
      <w:tblGrid>
        <w:gridCol w:w="1075"/>
        <w:gridCol w:w="5979"/>
      </w:tblGrid>
      <w:tr w:rsidR="00CE17CB" w:rsidRPr="00BB7217" w14:paraId="13BC918E" w14:textId="77777777" w:rsidTr="001C6D41">
        <w:tc>
          <w:tcPr>
            <w:tcW w:w="1075" w:type="dxa"/>
          </w:tcPr>
          <w:p w14:paraId="15D2AA7B" w14:textId="44289FF8" w:rsidR="00CE17CB" w:rsidRPr="00BB7217" w:rsidRDefault="00CE17CB" w:rsidP="00DF7C33">
            <w:pPr>
              <w:rPr>
                <w:b/>
              </w:rPr>
            </w:pPr>
            <w:r w:rsidRPr="00BB7217">
              <w:rPr>
                <w:b/>
              </w:rPr>
              <w:t>ПОУ</w:t>
            </w:r>
          </w:p>
        </w:tc>
        <w:tc>
          <w:tcPr>
            <w:tcW w:w="5979" w:type="dxa"/>
          </w:tcPr>
          <w:p w14:paraId="4DE2E01D" w14:textId="18ADDCBD" w:rsidR="00CE17CB" w:rsidRPr="00BB7217" w:rsidRDefault="00CE17CB" w:rsidP="00CE17CB">
            <w:r w:rsidRPr="00BB7217">
              <w:t>Партнерство за Отворену Управу</w:t>
            </w:r>
          </w:p>
        </w:tc>
      </w:tr>
      <w:tr w:rsidR="001C6D41" w:rsidRPr="00BB7217" w14:paraId="71E75D47" w14:textId="77777777" w:rsidTr="001C6D41">
        <w:tc>
          <w:tcPr>
            <w:tcW w:w="1075" w:type="dxa"/>
          </w:tcPr>
          <w:p w14:paraId="7079D1DB" w14:textId="2FC90453" w:rsidR="001C6D41" w:rsidRPr="00BB7217" w:rsidRDefault="00E90122" w:rsidP="00DF7C33">
            <w:pPr>
              <w:rPr>
                <w:b/>
              </w:rPr>
            </w:pPr>
            <w:r w:rsidRPr="00BB7217">
              <w:rPr>
                <w:b/>
              </w:rPr>
              <w:t>МТТТ</w:t>
            </w:r>
          </w:p>
        </w:tc>
        <w:tc>
          <w:tcPr>
            <w:tcW w:w="5979" w:type="dxa"/>
          </w:tcPr>
          <w:p w14:paraId="0C74A4EA" w14:textId="149DE9C8" w:rsidR="001C6D41" w:rsidRPr="00BB7217" w:rsidRDefault="00E90122" w:rsidP="00CE17CB">
            <w:r w:rsidRPr="00BB7217">
              <w:t>Министарство</w:t>
            </w:r>
            <w:r w:rsidR="001C6D41" w:rsidRPr="00BB7217">
              <w:t xml:space="preserve"> </w:t>
            </w:r>
            <w:r w:rsidR="00CE17CB" w:rsidRPr="00BB7217">
              <w:t>Т</w:t>
            </w:r>
            <w:r w:rsidRPr="00BB7217">
              <w:t>рговине</w:t>
            </w:r>
            <w:r w:rsidR="001C6D41" w:rsidRPr="00BB7217">
              <w:t xml:space="preserve">, </w:t>
            </w:r>
            <w:r w:rsidR="00CE17CB" w:rsidRPr="00BB7217">
              <w:t>Т</w:t>
            </w:r>
            <w:r w:rsidRPr="00BB7217">
              <w:t>уризма</w:t>
            </w:r>
            <w:r w:rsidR="001C6D41" w:rsidRPr="00BB7217">
              <w:t xml:space="preserve"> </w:t>
            </w:r>
            <w:r w:rsidRPr="00BB7217">
              <w:t>и</w:t>
            </w:r>
            <w:r w:rsidR="001C6D41" w:rsidRPr="00BB7217">
              <w:t xml:space="preserve"> </w:t>
            </w:r>
            <w:r w:rsidR="00CE17CB" w:rsidRPr="00BB7217">
              <w:t>Т</w:t>
            </w:r>
            <w:r w:rsidRPr="00BB7217">
              <w:t>елекомуникација</w:t>
            </w:r>
          </w:p>
        </w:tc>
      </w:tr>
      <w:tr w:rsidR="001C6D41" w:rsidRPr="00BB7217" w14:paraId="5E20A2BD" w14:textId="77777777" w:rsidTr="001C6D41">
        <w:tc>
          <w:tcPr>
            <w:tcW w:w="1075" w:type="dxa"/>
          </w:tcPr>
          <w:p w14:paraId="53F25671" w14:textId="1375A5AE" w:rsidR="001C6D41" w:rsidRPr="00BD1085" w:rsidRDefault="00BD1085" w:rsidP="00DF7C33">
            <w:pPr>
              <w:rPr>
                <w:b/>
              </w:rPr>
            </w:pPr>
            <w:r w:rsidRPr="00BD1085">
              <w:rPr>
                <w:b/>
              </w:rPr>
              <w:t>ЗИН</w:t>
            </w:r>
          </w:p>
        </w:tc>
        <w:tc>
          <w:tcPr>
            <w:tcW w:w="5979" w:type="dxa"/>
          </w:tcPr>
          <w:p w14:paraId="12EB0B63" w14:textId="1B623E05" w:rsidR="00BD1085" w:rsidRPr="00BB7217" w:rsidRDefault="00BD1085" w:rsidP="00DF7C33">
            <w:r>
              <w:t>Закон о Инспекцијском Надзору</w:t>
            </w:r>
          </w:p>
        </w:tc>
      </w:tr>
      <w:tr w:rsidR="00A44DA3" w:rsidRPr="00BB7217" w14:paraId="016632B5" w14:textId="77777777" w:rsidTr="001C6D41">
        <w:tc>
          <w:tcPr>
            <w:tcW w:w="1075" w:type="dxa"/>
          </w:tcPr>
          <w:p w14:paraId="58050374" w14:textId="015B01D7" w:rsidR="00A44DA3" w:rsidRPr="00BB7217" w:rsidRDefault="00C77047" w:rsidP="00DF7C33">
            <w:pPr>
              <w:rPr>
                <w:b/>
              </w:rPr>
            </w:pPr>
            <w:r w:rsidRPr="00BB7217">
              <w:rPr>
                <w:b/>
              </w:rPr>
              <w:t>ЗД</w:t>
            </w:r>
          </w:p>
        </w:tc>
        <w:tc>
          <w:tcPr>
            <w:tcW w:w="5979" w:type="dxa"/>
          </w:tcPr>
          <w:p w14:paraId="53626915" w14:textId="1BDC0079" w:rsidR="00A44DA3" w:rsidRPr="00BB7217" w:rsidRDefault="00CE17CB" w:rsidP="00DF7C33">
            <w:r w:rsidRPr="00BB7217">
              <w:t>За Дискусију, б</w:t>
            </w:r>
            <w:r w:rsidR="00C77047" w:rsidRPr="00BB7217">
              <w:t>иће обрисано у финалној верзији</w:t>
            </w:r>
          </w:p>
        </w:tc>
      </w:tr>
      <w:tr w:rsidR="008104D4" w:rsidRPr="00BB7217" w14:paraId="692BAF41" w14:textId="77777777" w:rsidTr="001C6D41">
        <w:tc>
          <w:tcPr>
            <w:tcW w:w="1075" w:type="dxa"/>
          </w:tcPr>
          <w:p w14:paraId="18B8BF23" w14:textId="36C5AD0F" w:rsidR="008104D4" w:rsidRPr="00BB7217" w:rsidRDefault="008104D4" w:rsidP="00DF7C33">
            <w:pPr>
              <w:rPr>
                <w:b/>
              </w:rPr>
            </w:pPr>
            <w:r>
              <w:rPr>
                <w:b/>
              </w:rPr>
              <w:t>ЗУП</w:t>
            </w:r>
          </w:p>
        </w:tc>
        <w:tc>
          <w:tcPr>
            <w:tcW w:w="5979" w:type="dxa"/>
          </w:tcPr>
          <w:p w14:paraId="0289526C" w14:textId="14DCF4C1" w:rsidR="008104D4" w:rsidRPr="00BB7217" w:rsidRDefault="008104D4" w:rsidP="008104D4">
            <w:r>
              <w:t>Закон о општем Управном Поступку</w:t>
            </w:r>
          </w:p>
        </w:tc>
      </w:tr>
    </w:tbl>
    <w:p w14:paraId="3DBE5E52" w14:textId="28CD5053" w:rsidR="00E36F83" w:rsidRDefault="00E36F83" w:rsidP="00DF7C33"/>
    <w:p w14:paraId="7D68C5E3" w14:textId="77777777" w:rsidR="00E36F83" w:rsidRDefault="00E36F83" w:rsidP="00DF7C33"/>
    <w:p w14:paraId="6E86DED6" w14:textId="77777777" w:rsidR="00E36F83" w:rsidRDefault="00E36F83" w:rsidP="00DF7C33"/>
    <w:p w14:paraId="471F9E2B" w14:textId="77777777" w:rsidR="00E36F83" w:rsidRDefault="00E36F83" w:rsidP="00DF7C33"/>
    <w:p w14:paraId="2303BD27" w14:textId="77777777" w:rsidR="00E36F83" w:rsidRDefault="00E36F83" w:rsidP="00DF7C33"/>
    <w:p w14:paraId="617C395D" w14:textId="77777777" w:rsidR="00E36F83" w:rsidRDefault="00E36F83" w:rsidP="00DF7C33"/>
    <w:p w14:paraId="75B18776" w14:textId="77777777" w:rsidR="00E36F83" w:rsidRDefault="00E36F83" w:rsidP="00DF7C33"/>
    <w:p w14:paraId="36A6C28A" w14:textId="77777777" w:rsidR="00E36F83" w:rsidRDefault="00E36F83" w:rsidP="00DF7C33"/>
    <w:p w14:paraId="3681E799" w14:textId="77777777" w:rsidR="00E36F83" w:rsidRDefault="00E36F83" w:rsidP="00DF7C33"/>
    <w:p w14:paraId="309EACA7" w14:textId="77777777" w:rsidR="00E36F83" w:rsidRDefault="00E36F83" w:rsidP="00DF7C33"/>
    <w:p w14:paraId="525254DD" w14:textId="77777777" w:rsidR="00E36F83" w:rsidRDefault="00E36F83" w:rsidP="00DF7C33"/>
    <w:p w14:paraId="3B8E8617" w14:textId="77777777" w:rsidR="00E36F83" w:rsidRDefault="00E36F83" w:rsidP="00DF7C33"/>
    <w:p w14:paraId="65BAF818" w14:textId="77777777" w:rsidR="00E36F83" w:rsidRDefault="00E36F83" w:rsidP="00DF7C33"/>
    <w:p w14:paraId="50CCA575" w14:textId="77777777" w:rsidR="00E36F83" w:rsidRDefault="00E36F83" w:rsidP="00DF7C33"/>
    <w:p w14:paraId="55F45331" w14:textId="77777777" w:rsidR="00E36F83" w:rsidRDefault="00E36F83" w:rsidP="00DF7C33"/>
    <w:p w14:paraId="192868E7" w14:textId="77777777" w:rsidR="00E36F83" w:rsidRDefault="00E36F83" w:rsidP="00DF7C33"/>
    <w:p w14:paraId="3E4D2130" w14:textId="77777777" w:rsidR="00E36F83" w:rsidRDefault="00E36F83" w:rsidP="00DF7C33"/>
    <w:p w14:paraId="2FFEFBEA" w14:textId="77777777" w:rsidR="00E36F83" w:rsidRDefault="00E36F83" w:rsidP="00DF7C33"/>
    <w:p w14:paraId="641312CD" w14:textId="77777777" w:rsidR="00E36F83" w:rsidRDefault="00E36F83" w:rsidP="00DF7C33"/>
    <w:p w14:paraId="4AC537A9" w14:textId="77777777" w:rsidR="00E36F83" w:rsidRDefault="00E36F83" w:rsidP="00DF7C33"/>
    <w:p w14:paraId="0AF52B89" w14:textId="77777777" w:rsidR="00E36F83" w:rsidRDefault="00E36F83" w:rsidP="00DF7C33"/>
    <w:p w14:paraId="6865918A" w14:textId="77777777" w:rsidR="00E36F83" w:rsidRDefault="00E36F83" w:rsidP="00DF7C33"/>
    <w:p w14:paraId="1B8D39C5" w14:textId="77777777" w:rsidR="00E36F83" w:rsidRDefault="00E36F83" w:rsidP="00DF7C33"/>
    <w:p w14:paraId="13EDFDDB" w14:textId="77777777" w:rsidR="00E36F83" w:rsidRDefault="00E36F83" w:rsidP="00DF7C33"/>
    <w:p w14:paraId="2C307262" w14:textId="77777777" w:rsidR="00E36F83" w:rsidRDefault="00E36F83" w:rsidP="00DF7C33"/>
    <w:p w14:paraId="59A0D970" w14:textId="77777777" w:rsidR="00E36F83" w:rsidRDefault="00E36F83" w:rsidP="00DF7C33"/>
    <w:p w14:paraId="0AC2949A" w14:textId="77777777" w:rsidR="00E36F83" w:rsidRDefault="00E36F83" w:rsidP="00DF7C33"/>
    <w:p w14:paraId="65CB9589" w14:textId="77777777" w:rsidR="00E36F83" w:rsidRDefault="00E36F83" w:rsidP="00DF7C33"/>
    <w:p w14:paraId="4E348E72" w14:textId="77777777" w:rsidR="00E36F83" w:rsidRDefault="00E36F83" w:rsidP="00DF7C33"/>
    <w:p w14:paraId="514997E9" w14:textId="77777777" w:rsidR="00E36F83" w:rsidRDefault="00E36F83" w:rsidP="00DF7C33"/>
    <w:p w14:paraId="0F55A016" w14:textId="77777777" w:rsidR="00E36F83" w:rsidRDefault="00E36F83" w:rsidP="00DF7C33"/>
    <w:p w14:paraId="62EB28AF" w14:textId="77777777" w:rsidR="00E36F83" w:rsidRDefault="00E36F83" w:rsidP="00DF7C33"/>
    <w:p w14:paraId="7284A05B" w14:textId="77777777" w:rsidR="00E36F83" w:rsidRDefault="00E36F83" w:rsidP="00DF7C33"/>
    <w:p w14:paraId="1AED21E3" w14:textId="77777777" w:rsidR="00E36F83" w:rsidRDefault="00E36F83" w:rsidP="00DF7C33"/>
    <w:tbl>
      <w:tblPr>
        <w:tblStyle w:val="TableGrid"/>
        <w:tblW w:w="0" w:type="auto"/>
        <w:tblLook w:val="04A0" w:firstRow="1" w:lastRow="0" w:firstColumn="1" w:lastColumn="0" w:noHBand="0" w:noVBand="1"/>
      </w:tblPr>
      <w:tblGrid>
        <w:gridCol w:w="2214"/>
        <w:gridCol w:w="4840"/>
      </w:tblGrid>
      <w:tr w:rsidR="00E36F83" w:rsidRPr="00BB7217" w14:paraId="1ED22FCB" w14:textId="77777777" w:rsidTr="00FD2975">
        <w:tc>
          <w:tcPr>
            <w:tcW w:w="2214" w:type="dxa"/>
          </w:tcPr>
          <w:p w14:paraId="13E3A32D" w14:textId="77777777" w:rsidR="00E36F83" w:rsidRPr="00BB7217" w:rsidRDefault="00E36F83" w:rsidP="00FD2975">
            <w:r w:rsidRPr="00BB7217">
              <w:t>Верзија</w:t>
            </w:r>
          </w:p>
        </w:tc>
        <w:tc>
          <w:tcPr>
            <w:tcW w:w="4840" w:type="dxa"/>
          </w:tcPr>
          <w:p w14:paraId="1EF7ADC5" w14:textId="77777777" w:rsidR="00E36F83" w:rsidRPr="00BB7217" w:rsidRDefault="00E36F83" w:rsidP="00FD2975">
            <w:r>
              <w:t>0.3</w:t>
            </w:r>
          </w:p>
        </w:tc>
      </w:tr>
      <w:tr w:rsidR="00E36F83" w:rsidRPr="00BB7217" w14:paraId="0EC98E51" w14:textId="77777777" w:rsidTr="00FD2975">
        <w:tc>
          <w:tcPr>
            <w:tcW w:w="2214" w:type="dxa"/>
          </w:tcPr>
          <w:p w14:paraId="00802E54" w14:textId="77777777" w:rsidR="00E36F83" w:rsidRPr="00BB7217" w:rsidRDefault="00E36F83" w:rsidP="00FD2975">
            <w:r w:rsidRPr="00BB7217">
              <w:t>Датум</w:t>
            </w:r>
          </w:p>
        </w:tc>
        <w:tc>
          <w:tcPr>
            <w:tcW w:w="4840" w:type="dxa"/>
          </w:tcPr>
          <w:p w14:paraId="507E0D1A" w14:textId="77777777" w:rsidR="00E36F83" w:rsidRPr="00BB7217" w:rsidRDefault="00E36F83" w:rsidP="00FD2975">
            <w:r>
              <w:t>3. децембар</w:t>
            </w:r>
            <w:r w:rsidRPr="00BB7217">
              <w:t xml:space="preserve"> 2016</w:t>
            </w:r>
          </w:p>
        </w:tc>
      </w:tr>
      <w:tr w:rsidR="00E36F83" w:rsidRPr="00BB7217" w14:paraId="5D2826CE" w14:textId="77777777" w:rsidTr="00FD2975">
        <w:tc>
          <w:tcPr>
            <w:tcW w:w="2214" w:type="dxa"/>
          </w:tcPr>
          <w:p w14:paraId="65657FA2" w14:textId="77777777" w:rsidR="00E36F83" w:rsidRPr="00BB7217" w:rsidRDefault="00E36F83" w:rsidP="00FD2975">
            <w:r w:rsidRPr="00BB7217">
              <w:t>Измене у односу на претходну верзију</w:t>
            </w:r>
          </w:p>
        </w:tc>
        <w:tc>
          <w:tcPr>
            <w:tcW w:w="4840" w:type="dxa"/>
          </w:tcPr>
          <w:p w14:paraId="0A77DFCB" w14:textId="41A22D1E" w:rsidR="00E36F83" w:rsidRDefault="00E36F83" w:rsidP="00FD2975">
            <w:r>
              <w:t>Анализа стања</w:t>
            </w:r>
            <w:r>
              <w:t>, збирна анализа, табеле</w:t>
            </w:r>
          </w:p>
          <w:p w14:paraId="1639C20E" w14:textId="7AAAEDF6" w:rsidR="00E36F83" w:rsidRPr="00E36F83" w:rsidRDefault="00E36F83" w:rsidP="00FD2975">
            <w:r>
              <w:t>Закључци</w:t>
            </w:r>
          </w:p>
          <w:p w14:paraId="47FA01E9" w14:textId="77777777" w:rsidR="00E36F83" w:rsidRPr="009D2416" w:rsidRDefault="00E36F83" w:rsidP="00FD2975"/>
        </w:tc>
      </w:tr>
    </w:tbl>
    <w:p w14:paraId="7A93D1C6" w14:textId="77777777" w:rsidR="00E36F83" w:rsidRDefault="00E36F83" w:rsidP="00DF7C33"/>
    <w:p w14:paraId="678F3ECA" w14:textId="77777777" w:rsidR="00E36F83" w:rsidRDefault="00E36F83">
      <w:pPr>
        <w:spacing w:after="160" w:line="259" w:lineRule="auto"/>
      </w:pPr>
      <w:r>
        <w:br w:type="page"/>
      </w:r>
    </w:p>
    <w:sdt>
      <w:sdtPr>
        <w:id w:val="-943764595"/>
        <w:docPartObj>
          <w:docPartGallery w:val="Table of Contents"/>
          <w:docPartUnique/>
        </w:docPartObj>
      </w:sdtPr>
      <w:sdtEndPr>
        <w:rPr>
          <w:b/>
          <w:bCs/>
          <w:noProof/>
        </w:rPr>
      </w:sdtEndPr>
      <w:sdtContent>
        <w:p w14:paraId="39A088DD" w14:textId="1F677358" w:rsidR="00A85627" w:rsidRPr="00A85627" w:rsidRDefault="00A85627" w:rsidP="00A85627">
          <w:pPr>
            <w:rPr>
              <w:b/>
            </w:rPr>
          </w:pPr>
          <w:r w:rsidRPr="00A85627">
            <w:rPr>
              <w:b/>
            </w:rPr>
            <w:t>Садржај</w:t>
          </w:r>
        </w:p>
        <w:p w14:paraId="296573DB" w14:textId="77777777" w:rsidR="00430CE1" w:rsidRDefault="00A85627">
          <w:pPr>
            <w:pStyle w:val="TOC1"/>
            <w:tabs>
              <w:tab w:val="right" w:leader="dot" w:pos="10457"/>
            </w:tabs>
            <w:rPr>
              <w:rFonts w:asciiTheme="minorHAnsi" w:eastAsiaTheme="minorEastAsia" w:hAnsiTheme="minorHAnsi" w:cstheme="minorBidi"/>
              <w:noProof/>
              <w:sz w:val="22"/>
              <w:szCs w:val="22"/>
              <w:lang w:val="en-US"/>
            </w:rPr>
          </w:pPr>
          <w:r>
            <w:fldChar w:fldCharType="begin"/>
          </w:r>
          <w:r>
            <w:instrText xml:space="preserve"> TOC \o "1-3" \h \z \u </w:instrText>
          </w:r>
          <w:r>
            <w:fldChar w:fldCharType="separate"/>
          </w:r>
          <w:bookmarkStart w:id="0" w:name="_GoBack"/>
          <w:bookmarkEnd w:id="0"/>
          <w:r w:rsidR="00430CE1" w:rsidRPr="00781AFE">
            <w:rPr>
              <w:rStyle w:val="Hyperlink"/>
              <w:noProof/>
            </w:rPr>
            <w:fldChar w:fldCharType="begin"/>
          </w:r>
          <w:r w:rsidR="00430CE1" w:rsidRPr="00781AFE">
            <w:rPr>
              <w:rStyle w:val="Hyperlink"/>
              <w:noProof/>
            </w:rPr>
            <w:instrText xml:space="preserve"> </w:instrText>
          </w:r>
          <w:r w:rsidR="00430CE1">
            <w:rPr>
              <w:noProof/>
            </w:rPr>
            <w:instrText>HYPERLINK \l "_Toc468553611"</w:instrText>
          </w:r>
          <w:r w:rsidR="00430CE1" w:rsidRPr="00781AFE">
            <w:rPr>
              <w:rStyle w:val="Hyperlink"/>
              <w:noProof/>
            </w:rPr>
            <w:instrText xml:space="preserve"> </w:instrText>
          </w:r>
          <w:r w:rsidR="00430CE1" w:rsidRPr="00781AFE">
            <w:rPr>
              <w:rStyle w:val="Hyperlink"/>
              <w:noProof/>
            </w:rPr>
          </w:r>
          <w:r w:rsidR="00430CE1" w:rsidRPr="00781AFE">
            <w:rPr>
              <w:rStyle w:val="Hyperlink"/>
              <w:noProof/>
            </w:rPr>
            <w:fldChar w:fldCharType="separate"/>
          </w:r>
          <w:r w:rsidR="00430CE1" w:rsidRPr="00781AFE">
            <w:rPr>
              <w:rStyle w:val="Hyperlink"/>
              <w:noProof/>
            </w:rPr>
            <w:t>Увод</w:t>
          </w:r>
          <w:r w:rsidR="00430CE1">
            <w:rPr>
              <w:noProof/>
              <w:webHidden/>
            </w:rPr>
            <w:tab/>
          </w:r>
          <w:r w:rsidR="00430CE1">
            <w:rPr>
              <w:noProof/>
              <w:webHidden/>
            </w:rPr>
            <w:fldChar w:fldCharType="begin"/>
          </w:r>
          <w:r w:rsidR="00430CE1">
            <w:rPr>
              <w:noProof/>
              <w:webHidden/>
            </w:rPr>
            <w:instrText xml:space="preserve"> PAGEREF _Toc468553611 \h </w:instrText>
          </w:r>
          <w:r w:rsidR="00430CE1">
            <w:rPr>
              <w:noProof/>
              <w:webHidden/>
            </w:rPr>
          </w:r>
          <w:r w:rsidR="00430CE1">
            <w:rPr>
              <w:noProof/>
              <w:webHidden/>
            </w:rPr>
            <w:fldChar w:fldCharType="separate"/>
          </w:r>
          <w:r w:rsidR="00430CE1">
            <w:rPr>
              <w:noProof/>
              <w:webHidden/>
            </w:rPr>
            <w:t>3</w:t>
          </w:r>
          <w:r w:rsidR="00430CE1">
            <w:rPr>
              <w:noProof/>
              <w:webHidden/>
            </w:rPr>
            <w:fldChar w:fldCharType="end"/>
          </w:r>
          <w:r w:rsidR="00430CE1" w:rsidRPr="00781AFE">
            <w:rPr>
              <w:rStyle w:val="Hyperlink"/>
              <w:noProof/>
            </w:rPr>
            <w:fldChar w:fldCharType="end"/>
          </w:r>
        </w:p>
        <w:p w14:paraId="341A53FA" w14:textId="77777777" w:rsidR="00430CE1" w:rsidRDefault="00430CE1">
          <w:pPr>
            <w:pStyle w:val="TOC2"/>
            <w:tabs>
              <w:tab w:val="right" w:leader="dot" w:pos="10457"/>
            </w:tabs>
            <w:rPr>
              <w:rFonts w:asciiTheme="minorHAnsi" w:eastAsiaTheme="minorEastAsia" w:hAnsiTheme="minorHAnsi" w:cstheme="minorBidi"/>
              <w:noProof/>
              <w:sz w:val="22"/>
              <w:szCs w:val="22"/>
              <w:lang w:val="en-US"/>
            </w:rPr>
          </w:pPr>
          <w:hyperlink w:anchor="_Toc468553612" w:history="1">
            <w:r w:rsidRPr="00781AFE">
              <w:rPr>
                <w:rStyle w:val="Hyperlink"/>
                <w:noProof/>
              </w:rPr>
              <w:t>Циљ документа</w:t>
            </w:r>
            <w:r>
              <w:rPr>
                <w:noProof/>
                <w:webHidden/>
              </w:rPr>
              <w:tab/>
            </w:r>
            <w:r>
              <w:rPr>
                <w:noProof/>
                <w:webHidden/>
              </w:rPr>
              <w:fldChar w:fldCharType="begin"/>
            </w:r>
            <w:r>
              <w:rPr>
                <w:noProof/>
                <w:webHidden/>
              </w:rPr>
              <w:instrText xml:space="preserve"> PAGEREF _Toc468553612 \h </w:instrText>
            </w:r>
            <w:r>
              <w:rPr>
                <w:noProof/>
                <w:webHidden/>
              </w:rPr>
            </w:r>
            <w:r>
              <w:rPr>
                <w:noProof/>
                <w:webHidden/>
              </w:rPr>
              <w:fldChar w:fldCharType="separate"/>
            </w:r>
            <w:r>
              <w:rPr>
                <w:noProof/>
                <w:webHidden/>
              </w:rPr>
              <w:t>3</w:t>
            </w:r>
            <w:r>
              <w:rPr>
                <w:noProof/>
                <w:webHidden/>
              </w:rPr>
              <w:fldChar w:fldCharType="end"/>
            </w:r>
          </w:hyperlink>
        </w:p>
        <w:p w14:paraId="7114793B" w14:textId="77777777" w:rsidR="00430CE1" w:rsidRDefault="00430CE1">
          <w:pPr>
            <w:pStyle w:val="TOC1"/>
            <w:tabs>
              <w:tab w:val="right" w:leader="dot" w:pos="10457"/>
            </w:tabs>
            <w:rPr>
              <w:rFonts w:asciiTheme="minorHAnsi" w:eastAsiaTheme="minorEastAsia" w:hAnsiTheme="minorHAnsi" w:cstheme="minorBidi"/>
              <w:noProof/>
              <w:sz w:val="22"/>
              <w:szCs w:val="22"/>
              <w:lang w:val="en-US"/>
            </w:rPr>
          </w:pPr>
          <w:hyperlink w:anchor="_Toc468553613" w:history="1">
            <w:r w:rsidRPr="00781AFE">
              <w:rPr>
                <w:rStyle w:val="Hyperlink"/>
                <w:noProof/>
              </w:rPr>
              <w:t>Законски оквир</w:t>
            </w:r>
            <w:r>
              <w:rPr>
                <w:noProof/>
                <w:webHidden/>
              </w:rPr>
              <w:tab/>
            </w:r>
            <w:r>
              <w:rPr>
                <w:noProof/>
                <w:webHidden/>
              </w:rPr>
              <w:fldChar w:fldCharType="begin"/>
            </w:r>
            <w:r>
              <w:rPr>
                <w:noProof/>
                <w:webHidden/>
              </w:rPr>
              <w:instrText xml:space="preserve"> PAGEREF _Toc468553613 \h </w:instrText>
            </w:r>
            <w:r>
              <w:rPr>
                <w:noProof/>
                <w:webHidden/>
              </w:rPr>
            </w:r>
            <w:r>
              <w:rPr>
                <w:noProof/>
                <w:webHidden/>
              </w:rPr>
              <w:fldChar w:fldCharType="separate"/>
            </w:r>
            <w:r>
              <w:rPr>
                <w:noProof/>
                <w:webHidden/>
              </w:rPr>
              <w:t>4</w:t>
            </w:r>
            <w:r>
              <w:rPr>
                <w:noProof/>
                <w:webHidden/>
              </w:rPr>
              <w:fldChar w:fldCharType="end"/>
            </w:r>
          </w:hyperlink>
        </w:p>
        <w:p w14:paraId="397BBD5A" w14:textId="77777777" w:rsidR="00430CE1" w:rsidRDefault="00430CE1">
          <w:pPr>
            <w:pStyle w:val="TOC2"/>
            <w:tabs>
              <w:tab w:val="right" w:leader="dot" w:pos="10457"/>
            </w:tabs>
            <w:rPr>
              <w:rFonts w:asciiTheme="minorHAnsi" w:eastAsiaTheme="minorEastAsia" w:hAnsiTheme="minorHAnsi" w:cstheme="minorBidi"/>
              <w:noProof/>
              <w:sz w:val="22"/>
              <w:szCs w:val="22"/>
              <w:lang w:val="en-US"/>
            </w:rPr>
          </w:pPr>
          <w:hyperlink w:anchor="_Toc468553614" w:history="1">
            <w:r w:rsidRPr="00781AFE">
              <w:rPr>
                <w:rStyle w:val="Hyperlink"/>
                <w:noProof/>
              </w:rPr>
              <w:t>Размена података са органима управе</w:t>
            </w:r>
            <w:r>
              <w:rPr>
                <w:noProof/>
                <w:webHidden/>
              </w:rPr>
              <w:tab/>
            </w:r>
            <w:r>
              <w:rPr>
                <w:noProof/>
                <w:webHidden/>
              </w:rPr>
              <w:fldChar w:fldCharType="begin"/>
            </w:r>
            <w:r>
              <w:rPr>
                <w:noProof/>
                <w:webHidden/>
              </w:rPr>
              <w:instrText xml:space="preserve"> PAGEREF _Toc468553614 \h </w:instrText>
            </w:r>
            <w:r>
              <w:rPr>
                <w:noProof/>
                <w:webHidden/>
              </w:rPr>
            </w:r>
            <w:r>
              <w:rPr>
                <w:noProof/>
                <w:webHidden/>
              </w:rPr>
              <w:fldChar w:fldCharType="separate"/>
            </w:r>
            <w:r>
              <w:rPr>
                <w:noProof/>
                <w:webHidden/>
              </w:rPr>
              <w:t>4</w:t>
            </w:r>
            <w:r>
              <w:rPr>
                <w:noProof/>
                <w:webHidden/>
              </w:rPr>
              <w:fldChar w:fldCharType="end"/>
            </w:r>
          </w:hyperlink>
        </w:p>
        <w:p w14:paraId="5B1BF558" w14:textId="77777777" w:rsidR="00430CE1" w:rsidRDefault="00430CE1">
          <w:pPr>
            <w:pStyle w:val="TOC2"/>
            <w:tabs>
              <w:tab w:val="right" w:leader="dot" w:pos="10457"/>
            </w:tabs>
            <w:rPr>
              <w:rFonts w:asciiTheme="minorHAnsi" w:eastAsiaTheme="minorEastAsia" w:hAnsiTheme="minorHAnsi" w:cstheme="minorBidi"/>
              <w:noProof/>
              <w:sz w:val="22"/>
              <w:szCs w:val="22"/>
              <w:lang w:val="en-US"/>
            </w:rPr>
          </w:pPr>
          <w:hyperlink w:anchor="_Toc468553615" w:history="1">
            <w:r w:rsidRPr="00781AFE">
              <w:rPr>
                <w:rStyle w:val="Hyperlink"/>
                <w:noProof/>
              </w:rPr>
              <w:t>Комуникација са јавности</w:t>
            </w:r>
            <w:r>
              <w:rPr>
                <w:noProof/>
                <w:webHidden/>
              </w:rPr>
              <w:tab/>
            </w:r>
            <w:r>
              <w:rPr>
                <w:noProof/>
                <w:webHidden/>
              </w:rPr>
              <w:fldChar w:fldCharType="begin"/>
            </w:r>
            <w:r>
              <w:rPr>
                <w:noProof/>
                <w:webHidden/>
              </w:rPr>
              <w:instrText xml:space="preserve"> PAGEREF _Toc468553615 \h </w:instrText>
            </w:r>
            <w:r>
              <w:rPr>
                <w:noProof/>
                <w:webHidden/>
              </w:rPr>
            </w:r>
            <w:r>
              <w:rPr>
                <w:noProof/>
                <w:webHidden/>
              </w:rPr>
              <w:fldChar w:fldCharType="separate"/>
            </w:r>
            <w:r>
              <w:rPr>
                <w:noProof/>
                <w:webHidden/>
              </w:rPr>
              <w:t>5</w:t>
            </w:r>
            <w:r>
              <w:rPr>
                <w:noProof/>
                <w:webHidden/>
              </w:rPr>
              <w:fldChar w:fldCharType="end"/>
            </w:r>
          </w:hyperlink>
        </w:p>
        <w:p w14:paraId="5AA00E07" w14:textId="77777777" w:rsidR="00430CE1" w:rsidRDefault="00430CE1">
          <w:pPr>
            <w:pStyle w:val="TOC3"/>
            <w:tabs>
              <w:tab w:val="right" w:leader="dot" w:pos="10457"/>
            </w:tabs>
            <w:rPr>
              <w:rFonts w:asciiTheme="minorHAnsi" w:eastAsiaTheme="minorEastAsia" w:hAnsiTheme="minorHAnsi" w:cstheme="minorBidi"/>
              <w:noProof/>
              <w:sz w:val="22"/>
              <w:szCs w:val="22"/>
              <w:lang w:val="en-US"/>
            </w:rPr>
          </w:pPr>
          <w:hyperlink w:anchor="_Toc468553616" w:history="1">
            <w:r w:rsidRPr="00781AFE">
              <w:rPr>
                <w:rStyle w:val="Hyperlink"/>
                <w:noProof/>
              </w:rPr>
              <w:t>Прописи</w:t>
            </w:r>
            <w:r>
              <w:rPr>
                <w:noProof/>
                <w:webHidden/>
              </w:rPr>
              <w:tab/>
            </w:r>
            <w:r>
              <w:rPr>
                <w:noProof/>
                <w:webHidden/>
              </w:rPr>
              <w:fldChar w:fldCharType="begin"/>
            </w:r>
            <w:r>
              <w:rPr>
                <w:noProof/>
                <w:webHidden/>
              </w:rPr>
              <w:instrText xml:space="preserve"> PAGEREF _Toc468553616 \h </w:instrText>
            </w:r>
            <w:r>
              <w:rPr>
                <w:noProof/>
                <w:webHidden/>
              </w:rPr>
            </w:r>
            <w:r>
              <w:rPr>
                <w:noProof/>
                <w:webHidden/>
              </w:rPr>
              <w:fldChar w:fldCharType="separate"/>
            </w:r>
            <w:r>
              <w:rPr>
                <w:noProof/>
                <w:webHidden/>
              </w:rPr>
              <w:t>5</w:t>
            </w:r>
            <w:r>
              <w:rPr>
                <w:noProof/>
                <w:webHidden/>
              </w:rPr>
              <w:fldChar w:fldCharType="end"/>
            </w:r>
          </w:hyperlink>
        </w:p>
        <w:p w14:paraId="4947134F" w14:textId="77777777" w:rsidR="00430CE1" w:rsidRDefault="00430CE1">
          <w:pPr>
            <w:pStyle w:val="TOC3"/>
            <w:tabs>
              <w:tab w:val="right" w:leader="dot" w:pos="10457"/>
            </w:tabs>
            <w:rPr>
              <w:rFonts w:asciiTheme="minorHAnsi" w:eastAsiaTheme="minorEastAsia" w:hAnsiTheme="minorHAnsi" w:cstheme="minorBidi"/>
              <w:noProof/>
              <w:sz w:val="22"/>
              <w:szCs w:val="22"/>
              <w:lang w:val="en-US"/>
            </w:rPr>
          </w:pPr>
          <w:hyperlink w:anchor="_Toc468553617" w:history="1">
            <w:r w:rsidRPr="00781AFE">
              <w:rPr>
                <w:rStyle w:val="Hyperlink"/>
                <w:noProof/>
              </w:rPr>
              <w:t>Планови рада</w:t>
            </w:r>
            <w:r>
              <w:rPr>
                <w:noProof/>
                <w:webHidden/>
              </w:rPr>
              <w:tab/>
            </w:r>
            <w:r>
              <w:rPr>
                <w:noProof/>
                <w:webHidden/>
              </w:rPr>
              <w:fldChar w:fldCharType="begin"/>
            </w:r>
            <w:r>
              <w:rPr>
                <w:noProof/>
                <w:webHidden/>
              </w:rPr>
              <w:instrText xml:space="preserve"> PAGEREF _Toc468553617 \h </w:instrText>
            </w:r>
            <w:r>
              <w:rPr>
                <w:noProof/>
                <w:webHidden/>
              </w:rPr>
            </w:r>
            <w:r>
              <w:rPr>
                <w:noProof/>
                <w:webHidden/>
              </w:rPr>
              <w:fldChar w:fldCharType="separate"/>
            </w:r>
            <w:r>
              <w:rPr>
                <w:noProof/>
                <w:webHidden/>
              </w:rPr>
              <w:t>5</w:t>
            </w:r>
            <w:r>
              <w:rPr>
                <w:noProof/>
                <w:webHidden/>
              </w:rPr>
              <w:fldChar w:fldCharType="end"/>
            </w:r>
          </w:hyperlink>
        </w:p>
        <w:p w14:paraId="46BCA5B3" w14:textId="77777777" w:rsidR="00430CE1" w:rsidRDefault="00430CE1">
          <w:pPr>
            <w:pStyle w:val="TOC3"/>
            <w:tabs>
              <w:tab w:val="right" w:leader="dot" w:pos="10457"/>
            </w:tabs>
            <w:rPr>
              <w:rFonts w:asciiTheme="minorHAnsi" w:eastAsiaTheme="minorEastAsia" w:hAnsiTheme="minorHAnsi" w:cstheme="minorBidi"/>
              <w:noProof/>
              <w:sz w:val="22"/>
              <w:szCs w:val="22"/>
              <w:lang w:val="en-US"/>
            </w:rPr>
          </w:pPr>
          <w:hyperlink w:anchor="_Toc468553618" w:history="1">
            <w:r w:rsidRPr="00781AFE">
              <w:rPr>
                <w:rStyle w:val="Hyperlink"/>
                <w:noProof/>
              </w:rPr>
              <w:t>Контролне листе</w:t>
            </w:r>
            <w:r>
              <w:rPr>
                <w:noProof/>
                <w:webHidden/>
              </w:rPr>
              <w:tab/>
            </w:r>
            <w:r>
              <w:rPr>
                <w:noProof/>
                <w:webHidden/>
              </w:rPr>
              <w:fldChar w:fldCharType="begin"/>
            </w:r>
            <w:r>
              <w:rPr>
                <w:noProof/>
                <w:webHidden/>
              </w:rPr>
              <w:instrText xml:space="preserve"> PAGEREF _Toc468553618 \h </w:instrText>
            </w:r>
            <w:r>
              <w:rPr>
                <w:noProof/>
                <w:webHidden/>
              </w:rPr>
            </w:r>
            <w:r>
              <w:rPr>
                <w:noProof/>
                <w:webHidden/>
              </w:rPr>
              <w:fldChar w:fldCharType="separate"/>
            </w:r>
            <w:r>
              <w:rPr>
                <w:noProof/>
                <w:webHidden/>
              </w:rPr>
              <w:t>6</w:t>
            </w:r>
            <w:r>
              <w:rPr>
                <w:noProof/>
                <w:webHidden/>
              </w:rPr>
              <w:fldChar w:fldCharType="end"/>
            </w:r>
          </w:hyperlink>
        </w:p>
        <w:p w14:paraId="4E2DA25D" w14:textId="77777777" w:rsidR="00430CE1" w:rsidRDefault="00430CE1">
          <w:pPr>
            <w:pStyle w:val="TOC3"/>
            <w:tabs>
              <w:tab w:val="right" w:leader="dot" w:pos="10457"/>
            </w:tabs>
            <w:rPr>
              <w:rFonts w:asciiTheme="minorHAnsi" w:eastAsiaTheme="minorEastAsia" w:hAnsiTheme="minorHAnsi" w:cstheme="minorBidi"/>
              <w:noProof/>
              <w:sz w:val="22"/>
              <w:szCs w:val="22"/>
              <w:lang w:val="en-US"/>
            </w:rPr>
          </w:pPr>
          <w:hyperlink w:anchor="_Toc468553619" w:history="1">
            <w:r w:rsidRPr="00781AFE">
              <w:rPr>
                <w:rStyle w:val="Hyperlink"/>
                <w:noProof/>
              </w:rPr>
              <w:t>Извештаји и обављени надзор</w:t>
            </w:r>
            <w:r>
              <w:rPr>
                <w:noProof/>
                <w:webHidden/>
              </w:rPr>
              <w:tab/>
            </w:r>
            <w:r>
              <w:rPr>
                <w:noProof/>
                <w:webHidden/>
              </w:rPr>
              <w:fldChar w:fldCharType="begin"/>
            </w:r>
            <w:r>
              <w:rPr>
                <w:noProof/>
                <w:webHidden/>
              </w:rPr>
              <w:instrText xml:space="preserve"> PAGEREF _Toc468553619 \h </w:instrText>
            </w:r>
            <w:r>
              <w:rPr>
                <w:noProof/>
                <w:webHidden/>
              </w:rPr>
            </w:r>
            <w:r>
              <w:rPr>
                <w:noProof/>
                <w:webHidden/>
              </w:rPr>
              <w:fldChar w:fldCharType="separate"/>
            </w:r>
            <w:r>
              <w:rPr>
                <w:noProof/>
                <w:webHidden/>
              </w:rPr>
              <w:t>6</w:t>
            </w:r>
            <w:r>
              <w:rPr>
                <w:noProof/>
                <w:webHidden/>
              </w:rPr>
              <w:fldChar w:fldCharType="end"/>
            </w:r>
          </w:hyperlink>
        </w:p>
        <w:p w14:paraId="47BA9790" w14:textId="77777777" w:rsidR="00430CE1" w:rsidRDefault="00430CE1">
          <w:pPr>
            <w:pStyle w:val="TOC3"/>
            <w:tabs>
              <w:tab w:val="right" w:leader="dot" w:pos="10457"/>
            </w:tabs>
            <w:rPr>
              <w:rFonts w:asciiTheme="minorHAnsi" w:eastAsiaTheme="minorEastAsia" w:hAnsiTheme="minorHAnsi" w:cstheme="minorBidi"/>
              <w:noProof/>
              <w:sz w:val="22"/>
              <w:szCs w:val="22"/>
              <w:lang w:val="en-US"/>
            </w:rPr>
          </w:pPr>
          <w:hyperlink w:anchor="_Toc468553620" w:history="1">
            <w:r w:rsidRPr="00781AFE">
              <w:rPr>
                <w:rStyle w:val="Hyperlink"/>
                <w:noProof/>
              </w:rPr>
              <w:t>Захтеви</w:t>
            </w:r>
            <w:r>
              <w:rPr>
                <w:noProof/>
                <w:webHidden/>
              </w:rPr>
              <w:tab/>
            </w:r>
            <w:r>
              <w:rPr>
                <w:noProof/>
                <w:webHidden/>
              </w:rPr>
              <w:fldChar w:fldCharType="begin"/>
            </w:r>
            <w:r>
              <w:rPr>
                <w:noProof/>
                <w:webHidden/>
              </w:rPr>
              <w:instrText xml:space="preserve"> PAGEREF _Toc468553620 \h </w:instrText>
            </w:r>
            <w:r>
              <w:rPr>
                <w:noProof/>
                <w:webHidden/>
              </w:rPr>
            </w:r>
            <w:r>
              <w:rPr>
                <w:noProof/>
                <w:webHidden/>
              </w:rPr>
              <w:fldChar w:fldCharType="separate"/>
            </w:r>
            <w:r>
              <w:rPr>
                <w:noProof/>
                <w:webHidden/>
              </w:rPr>
              <w:t>6</w:t>
            </w:r>
            <w:r>
              <w:rPr>
                <w:noProof/>
                <w:webHidden/>
              </w:rPr>
              <w:fldChar w:fldCharType="end"/>
            </w:r>
          </w:hyperlink>
        </w:p>
        <w:p w14:paraId="5C55379E" w14:textId="77777777" w:rsidR="00430CE1" w:rsidRDefault="00430CE1">
          <w:pPr>
            <w:pStyle w:val="TOC1"/>
            <w:tabs>
              <w:tab w:val="right" w:leader="dot" w:pos="10457"/>
            </w:tabs>
            <w:rPr>
              <w:rFonts w:asciiTheme="minorHAnsi" w:eastAsiaTheme="minorEastAsia" w:hAnsiTheme="minorHAnsi" w:cstheme="minorBidi"/>
              <w:noProof/>
              <w:sz w:val="22"/>
              <w:szCs w:val="22"/>
              <w:lang w:val="en-US"/>
            </w:rPr>
          </w:pPr>
          <w:hyperlink w:anchor="_Toc468553621" w:history="1">
            <w:r w:rsidRPr="00781AFE">
              <w:rPr>
                <w:rStyle w:val="Hyperlink"/>
                <w:noProof/>
              </w:rPr>
              <w:t>Модел за објављивање података</w:t>
            </w:r>
            <w:r>
              <w:rPr>
                <w:noProof/>
                <w:webHidden/>
              </w:rPr>
              <w:tab/>
            </w:r>
            <w:r>
              <w:rPr>
                <w:noProof/>
                <w:webHidden/>
              </w:rPr>
              <w:fldChar w:fldCharType="begin"/>
            </w:r>
            <w:r>
              <w:rPr>
                <w:noProof/>
                <w:webHidden/>
              </w:rPr>
              <w:instrText xml:space="preserve"> PAGEREF _Toc468553621 \h </w:instrText>
            </w:r>
            <w:r>
              <w:rPr>
                <w:noProof/>
                <w:webHidden/>
              </w:rPr>
            </w:r>
            <w:r>
              <w:rPr>
                <w:noProof/>
                <w:webHidden/>
              </w:rPr>
              <w:fldChar w:fldCharType="separate"/>
            </w:r>
            <w:r>
              <w:rPr>
                <w:noProof/>
                <w:webHidden/>
              </w:rPr>
              <w:t>7</w:t>
            </w:r>
            <w:r>
              <w:rPr>
                <w:noProof/>
                <w:webHidden/>
              </w:rPr>
              <w:fldChar w:fldCharType="end"/>
            </w:r>
          </w:hyperlink>
        </w:p>
        <w:p w14:paraId="4C438D1A" w14:textId="77777777" w:rsidR="00430CE1" w:rsidRDefault="00430CE1">
          <w:pPr>
            <w:pStyle w:val="TOC2"/>
            <w:tabs>
              <w:tab w:val="right" w:leader="dot" w:pos="10457"/>
            </w:tabs>
            <w:rPr>
              <w:rFonts w:asciiTheme="minorHAnsi" w:eastAsiaTheme="minorEastAsia" w:hAnsiTheme="minorHAnsi" w:cstheme="minorBidi"/>
              <w:noProof/>
              <w:sz w:val="22"/>
              <w:szCs w:val="22"/>
              <w:lang w:val="en-US"/>
            </w:rPr>
          </w:pPr>
          <w:hyperlink w:anchor="_Toc468553622" w:history="1">
            <w:r w:rsidRPr="00781AFE">
              <w:rPr>
                <w:rStyle w:val="Hyperlink"/>
                <w:noProof/>
              </w:rPr>
              <w:t>Садржај интернет презентације</w:t>
            </w:r>
            <w:r>
              <w:rPr>
                <w:noProof/>
                <w:webHidden/>
              </w:rPr>
              <w:tab/>
            </w:r>
            <w:r>
              <w:rPr>
                <w:noProof/>
                <w:webHidden/>
              </w:rPr>
              <w:fldChar w:fldCharType="begin"/>
            </w:r>
            <w:r>
              <w:rPr>
                <w:noProof/>
                <w:webHidden/>
              </w:rPr>
              <w:instrText xml:space="preserve"> PAGEREF _Toc468553622 \h </w:instrText>
            </w:r>
            <w:r>
              <w:rPr>
                <w:noProof/>
                <w:webHidden/>
              </w:rPr>
            </w:r>
            <w:r>
              <w:rPr>
                <w:noProof/>
                <w:webHidden/>
              </w:rPr>
              <w:fldChar w:fldCharType="separate"/>
            </w:r>
            <w:r>
              <w:rPr>
                <w:noProof/>
                <w:webHidden/>
              </w:rPr>
              <w:t>7</w:t>
            </w:r>
            <w:r>
              <w:rPr>
                <w:noProof/>
                <w:webHidden/>
              </w:rPr>
              <w:fldChar w:fldCharType="end"/>
            </w:r>
          </w:hyperlink>
        </w:p>
        <w:p w14:paraId="5688FD14" w14:textId="77777777" w:rsidR="00430CE1" w:rsidRDefault="00430CE1">
          <w:pPr>
            <w:pStyle w:val="TOC2"/>
            <w:tabs>
              <w:tab w:val="right" w:leader="dot" w:pos="10457"/>
            </w:tabs>
            <w:rPr>
              <w:rFonts w:asciiTheme="minorHAnsi" w:eastAsiaTheme="minorEastAsia" w:hAnsiTheme="minorHAnsi" w:cstheme="minorBidi"/>
              <w:noProof/>
              <w:sz w:val="22"/>
              <w:szCs w:val="22"/>
              <w:lang w:val="en-US"/>
            </w:rPr>
          </w:pPr>
          <w:hyperlink w:anchor="_Toc468553623" w:history="1">
            <w:r w:rsidRPr="00781AFE">
              <w:rPr>
                <w:rStyle w:val="Hyperlink"/>
                <w:noProof/>
              </w:rPr>
              <w:t>Основни елементи</w:t>
            </w:r>
            <w:r>
              <w:rPr>
                <w:noProof/>
                <w:webHidden/>
              </w:rPr>
              <w:tab/>
            </w:r>
            <w:r>
              <w:rPr>
                <w:noProof/>
                <w:webHidden/>
              </w:rPr>
              <w:fldChar w:fldCharType="begin"/>
            </w:r>
            <w:r>
              <w:rPr>
                <w:noProof/>
                <w:webHidden/>
              </w:rPr>
              <w:instrText xml:space="preserve"> PAGEREF _Toc468553623 \h </w:instrText>
            </w:r>
            <w:r>
              <w:rPr>
                <w:noProof/>
                <w:webHidden/>
              </w:rPr>
            </w:r>
            <w:r>
              <w:rPr>
                <w:noProof/>
                <w:webHidden/>
              </w:rPr>
              <w:fldChar w:fldCharType="separate"/>
            </w:r>
            <w:r>
              <w:rPr>
                <w:noProof/>
                <w:webHidden/>
              </w:rPr>
              <w:t>7</w:t>
            </w:r>
            <w:r>
              <w:rPr>
                <w:noProof/>
                <w:webHidden/>
              </w:rPr>
              <w:fldChar w:fldCharType="end"/>
            </w:r>
          </w:hyperlink>
        </w:p>
        <w:p w14:paraId="6061D1EA" w14:textId="77777777" w:rsidR="00430CE1" w:rsidRDefault="00430CE1">
          <w:pPr>
            <w:pStyle w:val="TOC2"/>
            <w:tabs>
              <w:tab w:val="right" w:leader="dot" w:pos="10457"/>
            </w:tabs>
            <w:rPr>
              <w:rFonts w:asciiTheme="minorHAnsi" w:eastAsiaTheme="minorEastAsia" w:hAnsiTheme="minorHAnsi" w:cstheme="minorBidi"/>
              <w:noProof/>
              <w:sz w:val="22"/>
              <w:szCs w:val="22"/>
              <w:lang w:val="en-US"/>
            </w:rPr>
          </w:pPr>
          <w:hyperlink w:anchor="_Toc468553624" w:history="1">
            <w:r w:rsidRPr="00781AFE">
              <w:rPr>
                <w:rStyle w:val="Hyperlink"/>
                <w:noProof/>
              </w:rPr>
              <w:t>Почетна страница</w:t>
            </w:r>
            <w:r>
              <w:rPr>
                <w:noProof/>
                <w:webHidden/>
              </w:rPr>
              <w:tab/>
            </w:r>
            <w:r>
              <w:rPr>
                <w:noProof/>
                <w:webHidden/>
              </w:rPr>
              <w:fldChar w:fldCharType="begin"/>
            </w:r>
            <w:r>
              <w:rPr>
                <w:noProof/>
                <w:webHidden/>
              </w:rPr>
              <w:instrText xml:space="preserve"> PAGEREF _Toc468553624 \h </w:instrText>
            </w:r>
            <w:r>
              <w:rPr>
                <w:noProof/>
                <w:webHidden/>
              </w:rPr>
            </w:r>
            <w:r>
              <w:rPr>
                <w:noProof/>
                <w:webHidden/>
              </w:rPr>
              <w:fldChar w:fldCharType="separate"/>
            </w:r>
            <w:r>
              <w:rPr>
                <w:noProof/>
                <w:webHidden/>
              </w:rPr>
              <w:t>8</w:t>
            </w:r>
            <w:r>
              <w:rPr>
                <w:noProof/>
                <w:webHidden/>
              </w:rPr>
              <w:fldChar w:fldCharType="end"/>
            </w:r>
          </w:hyperlink>
        </w:p>
        <w:p w14:paraId="23BEDC32" w14:textId="77777777" w:rsidR="00430CE1" w:rsidRDefault="00430CE1">
          <w:pPr>
            <w:pStyle w:val="TOC3"/>
            <w:tabs>
              <w:tab w:val="right" w:leader="dot" w:pos="10457"/>
            </w:tabs>
            <w:rPr>
              <w:rFonts w:asciiTheme="minorHAnsi" w:eastAsiaTheme="minorEastAsia" w:hAnsiTheme="minorHAnsi" w:cstheme="minorBidi"/>
              <w:noProof/>
              <w:sz w:val="22"/>
              <w:szCs w:val="22"/>
              <w:lang w:val="en-US"/>
            </w:rPr>
          </w:pPr>
          <w:hyperlink w:anchor="_Toc468553625" w:history="1">
            <w:r w:rsidRPr="00781AFE">
              <w:rPr>
                <w:rStyle w:val="Hyperlink"/>
                <w:noProof/>
              </w:rPr>
              <w:t>Новости</w:t>
            </w:r>
            <w:r>
              <w:rPr>
                <w:noProof/>
                <w:webHidden/>
              </w:rPr>
              <w:tab/>
            </w:r>
            <w:r>
              <w:rPr>
                <w:noProof/>
                <w:webHidden/>
              </w:rPr>
              <w:fldChar w:fldCharType="begin"/>
            </w:r>
            <w:r>
              <w:rPr>
                <w:noProof/>
                <w:webHidden/>
              </w:rPr>
              <w:instrText xml:space="preserve"> PAGEREF _Toc468553625 \h </w:instrText>
            </w:r>
            <w:r>
              <w:rPr>
                <w:noProof/>
                <w:webHidden/>
              </w:rPr>
            </w:r>
            <w:r>
              <w:rPr>
                <w:noProof/>
                <w:webHidden/>
              </w:rPr>
              <w:fldChar w:fldCharType="separate"/>
            </w:r>
            <w:r>
              <w:rPr>
                <w:noProof/>
                <w:webHidden/>
              </w:rPr>
              <w:t>8</w:t>
            </w:r>
            <w:r>
              <w:rPr>
                <w:noProof/>
                <w:webHidden/>
              </w:rPr>
              <w:fldChar w:fldCharType="end"/>
            </w:r>
          </w:hyperlink>
        </w:p>
        <w:p w14:paraId="6C122A00" w14:textId="77777777" w:rsidR="00430CE1" w:rsidRDefault="00430CE1">
          <w:pPr>
            <w:pStyle w:val="TOC3"/>
            <w:tabs>
              <w:tab w:val="right" w:leader="dot" w:pos="10457"/>
            </w:tabs>
            <w:rPr>
              <w:rFonts w:asciiTheme="minorHAnsi" w:eastAsiaTheme="minorEastAsia" w:hAnsiTheme="minorHAnsi" w:cstheme="minorBidi"/>
              <w:noProof/>
              <w:sz w:val="22"/>
              <w:szCs w:val="22"/>
              <w:lang w:val="en-US"/>
            </w:rPr>
          </w:pPr>
          <w:hyperlink w:anchor="_Toc468553626" w:history="1">
            <w:r w:rsidRPr="00781AFE">
              <w:rPr>
                <w:rStyle w:val="Hyperlink"/>
                <w:noProof/>
              </w:rPr>
              <w:t>Анкете и истраживања</w:t>
            </w:r>
            <w:r>
              <w:rPr>
                <w:noProof/>
                <w:webHidden/>
              </w:rPr>
              <w:tab/>
            </w:r>
            <w:r>
              <w:rPr>
                <w:noProof/>
                <w:webHidden/>
              </w:rPr>
              <w:fldChar w:fldCharType="begin"/>
            </w:r>
            <w:r>
              <w:rPr>
                <w:noProof/>
                <w:webHidden/>
              </w:rPr>
              <w:instrText xml:space="preserve"> PAGEREF _Toc468553626 \h </w:instrText>
            </w:r>
            <w:r>
              <w:rPr>
                <w:noProof/>
                <w:webHidden/>
              </w:rPr>
            </w:r>
            <w:r>
              <w:rPr>
                <w:noProof/>
                <w:webHidden/>
              </w:rPr>
              <w:fldChar w:fldCharType="separate"/>
            </w:r>
            <w:r>
              <w:rPr>
                <w:noProof/>
                <w:webHidden/>
              </w:rPr>
              <w:t>8</w:t>
            </w:r>
            <w:r>
              <w:rPr>
                <w:noProof/>
                <w:webHidden/>
              </w:rPr>
              <w:fldChar w:fldCharType="end"/>
            </w:r>
          </w:hyperlink>
        </w:p>
        <w:p w14:paraId="0FE238EA" w14:textId="77777777" w:rsidR="00430CE1" w:rsidRDefault="00430CE1">
          <w:pPr>
            <w:pStyle w:val="TOC2"/>
            <w:tabs>
              <w:tab w:val="right" w:leader="dot" w:pos="10457"/>
            </w:tabs>
            <w:rPr>
              <w:rFonts w:asciiTheme="minorHAnsi" w:eastAsiaTheme="minorEastAsia" w:hAnsiTheme="minorHAnsi" w:cstheme="minorBidi"/>
              <w:noProof/>
              <w:sz w:val="22"/>
              <w:szCs w:val="22"/>
              <w:lang w:val="en-US"/>
            </w:rPr>
          </w:pPr>
          <w:hyperlink w:anchor="_Toc468553627" w:history="1">
            <w:r w:rsidRPr="00781AFE">
              <w:rPr>
                <w:rStyle w:val="Hyperlink"/>
                <w:noProof/>
              </w:rPr>
              <w:t>Целине</w:t>
            </w:r>
            <w:r>
              <w:rPr>
                <w:noProof/>
                <w:webHidden/>
              </w:rPr>
              <w:tab/>
            </w:r>
            <w:r>
              <w:rPr>
                <w:noProof/>
                <w:webHidden/>
              </w:rPr>
              <w:fldChar w:fldCharType="begin"/>
            </w:r>
            <w:r>
              <w:rPr>
                <w:noProof/>
                <w:webHidden/>
              </w:rPr>
              <w:instrText xml:space="preserve"> PAGEREF _Toc468553627 \h </w:instrText>
            </w:r>
            <w:r>
              <w:rPr>
                <w:noProof/>
                <w:webHidden/>
              </w:rPr>
            </w:r>
            <w:r>
              <w:rPr>
                <w:noProof/>
                <w:webHidden/>
              </w:rPr>
              <w:fldChar w:fldCharType="separate"/>
            </w:r>
            <w:r>
              <w:rPr>
                <w:noProof/>
                <w:webHidden/>
              </w:rPr>
              <w:t>9</w:t>
            </w:r>
            <w:r>
              <w:rPr>
                <w:noProof/>
                <w:webHidden/>
              </w:rPr>
              <w:fldChar w:fldCharType="end"/>
            </w:r>
          </w:hyperlink>
        </w:p>
        <w:p w14:paraId="74AE26AC" w14:textId="77777777" w:rsidR="00430CE1" w:rsidRDefault="00430CE1">
          <w:pPr>
            <w:pStyle w:val="TOC3"/>
            <w:tabs>
              <w:tab w:val="right" w:leader="dot" w:pos="10457"/>
            </w:tabs>
            <w:rPr>
              <w:rFonts w:asciiTheme="minorHAnsi" w:eastAsiaTheme="minorEastAsia" w:hAnsiTheme="minorHAnsi" w:cstheme="minorBidi"/>
              <w:noProof/>
              <w:sz w:val="22"/>
              <w:szCs w:val="22"/>
              <w:lang w:val="en-US"/>
            </w:rPr>
          </w:pPr>
          <w:hyperlink w:anchor="_Toc468553628" w:history="1">
            <w:r w:rsidRPr="00781AFE">
              <w:rPr>
                <w:rStyle w:val="Hyperlink"/>
                <w:noProof/>
              </w:rPr>
              <w:t>О нама</w:t>
            </w:r>
            <w:r>
              <w:rPr>
                <w:noProof/>
                <w:webHidden/>
              </w:rPr>
              <w:tab/>
            </w:r>
            <w:r>
              <w:rPr>
                <w:noProof/>
                <w:webHidden/>
              </w:rPr>
              <w:fldChar w:fldCharType="begin"/>
            </w:r>
            <w:r>
              <w:rPr>
                <w:noProof/>
                <w:webHidden/>
              </w:rPr>
              <w:instrText xml:space="preserve"> PAGEREF _Toc468553628 \h </w:instrText>
            </w:r>
            <w:r>
              <w:rPr>
                <w:noProof/>
                <w:webHidden/>
              </w:rPr>
            </w:r>
            <w:r>
              <w:rPr>
                <w:noProof/>
                <w:webHidden/>
              </w:rPr>
              <w:fldChar w:fldCharType="separate"/>
            </w:r>
            <w:r>
              <w:rPr>
                <w:noProof/>
                <w:webHidden/>
              </w:rPr>
              <w:t>9</w:t>
            </w:r>
            <w:r>
              <w:rPr>
                <w:noProof/>
                <w:webHidden/>
              </w:rPr>
              <w:fldChar w:fldCharType="end"/>
            </w:r>
          </w:hyperlink>
        </w:p>
        <w:p w14:paraId="580E8121" w14:textId="77777777" w:rsidR="00430CE1" w:rsidRDefault="00430CE1">
          <w:pPr>
            <w:pStyle w:val="TOC3"/>
            <w:tabs>
              <w:tab w:val="right" w:leader="dot" w:pos="10457"/>
            </w:tabs>
            <w:rPr>
              <w:rFonts w:asciiTheme="minorHAnsi" w:eastAsiaTheme="minorEastAsia" w:hAnsiTheme="minorHAnsi" w:cstheme="minorBidi"/>
              <w:noProof/>
              <w:sz w:val="22"/>
              <w:szCs w:val="22"/>
              <w:lang w:val="en-US"/>
            </w:rPr>
          </w:pPr>
          <w:hyperlink w:anchor="_Toc468553629" w:history="1">
            <w:r w:rsidRPr="00781AFE">
              <w:rPr>
                <w:rStyle w:val="Hyperlink"/>
                <w:noProof/>
              </w:rPr>
              <w:t>Прописи</w:t>
            </w:r>
            <w:r>
              <w:rPr>
                <w:noProof/>
                <w:webHidden/>
              </w:rPr>
              <w:tab/>
            </w:r>
            <w:r>
              <w:rPr>
                <w:noProof/>
                <w:webHidden/>
              </w:rPr>
              <w:fldChar w:fldCharType="begin"/>
            </w:r>
            <w:r>
              <w:rPr>
                <w:noProof/>
                <w:webHidden/>
              </w:rPr>
              <w:instrText xml:space="preserve"> PAGEREF _Toc468553629 \h </w:instrText>
            </w:r>
            <w:r>
              <w:rPr>
                <w:noProof/>
                <w:webHidden/>
              </w:rPr>
            </w:r>
            <w:r>
              <w:rPr>
                <w:noProof/>
                <w:webHidden/>
              </w:rPr>
              <w:fldChar w:fldCharType="separate"/>
            </w:r>
            <w:r>
              <w:rPr>
                <w:noProof/>
                <w:webHidden/>
              </w:rPr>
              <w:t>9</w:t>
            </w:r>
            <w:r>
              <w:rPr>
                <w:noProof/>
                <w:webHidden/>
              </w:rPr>
              <w:fldChar w:fldCharType="end"/>
            </w:r>
          </w:hyperlink>
        </w:p>
        <w:p w14:paraId="3F7CB783" w14:textId="77777777" w:rsidR="00430CE1" w:rsidRDefault="00430CE1">
          <w:pPr>
            <w:pStyle w:val="TOC3"/>
            <w:tabs>
              <w:tab w:val="right" w:leader="dot" w:pos="10457"/>
            </w:tabs>
            <w:rPr>
              <w:rFonts w:asciiTheme="minorHAnsi" w:eastAsiaTheme="minorEastAsia" w:hAnsiTheme="minorHAnsi" w:cstheme="minorBidi"/>
              <w:noProof/>
              <w:sz w:val="22"/>
              <w:szCs w:val="22"/>
              <w:lang w:val="en-US"/>
            </w:rPr>
          </w:pPr>
          <w:hyperlink w:anchor="_Toc468553630" w:history="1">
            <w:r w:rsidRPr="00781AFE">
              <w:rPr>
                <w:rStyle w:val="Hyperlink"/>
                <w:noProof/>
              </w:rPr>
              <w:t>Планови рада</w:t>
            </w:r>
            <w:r>
              <w:rPr>
                <w:noProof/>
                <w:webHidden/>
              </w:rPr>
              <w:tab/>
            </w:r>
            <w:r>
              <w:rPr>
                <w:noProof/>
                <w:webHidden/>
              </w:rPr>
              <w:fldChar w:fldCharType="begin"/>
            </w:r>
            <w:r>
              <w:rPr>
                <w:noProof/>
                <w:webHidden/>
              </w:rPr>
              <w:instrText xml:space="preserve"> PAGEREF _Toc468553630 \h </w:instrText>
            </w:r>
            <w:r>
              <w:rPr>
                <w:noProof/>
                <w:webHidden/>
              </w:rPr>
            </w:r>
            <w:r>
              <w:rPr>
                <w:noProof/>
                <w:webHidden/>
              </w:rPr>
              <w:fldChar w:fldCharType="separate"/>
            </w:r>
            <w:r>
              <w:rPr>
                <w:noProof/>
                <w:webHidden/>
              </w:rPr>
              <w:t>10</w:t>
            </w:r>
            <w:r>
              <w:rPr>
                <w:noProof/>
                <w:webHidden/>
              </w:rPr>
              <w:fldChar w:fldCharType="end"/>
            </w:r>
          </w:hyperlink>
        </w:p>
        <w:p w14:paraId="2E990557" w14:textId="77777777" w:rsidR="00430CE1" w:rsidRDefault="00430CE1">
          <w:pPr>
            <w:pStyle w:val="TOC3"/>
            <w:tabs>
              <w:tab w:val="right" w:leader="dot" w:pos="10457"/>
            </w:tabs>
            <w:rPr>
              <w:rFonts w:asciiTheme="minorHAnsi" w:eastAsiaTheme="minorEastAsia" w:hAnsiTheme="minorHAnsi" w:cstheme="minorBidi"/>
              <w:noProof/>
              <w:sz w:val="22"/>
              <w:szCs w:val="22"/>
              <w:lang w:val="en-US"/>
            </w:rPr>
          </w:pPr>
          <w:hyperlink w:anchor="_Toc468553631" w:history="1">
            <w:r w:rsidRPr="00781AFE">
              <w:rPr>
                <w:rStyle w:val="Hyperlink"/>
                <w:noProof/>
              </w:rPr>
              <w:t>Контролне листе</w:t>
            </w:r>
            <w:r>
              <w:rPr>
                <w:noProof/>
                <w:webHidden/>
              </w:rPr>
              <w:tab/>
            </w:r>
            <w:r>
              <w:rPr>
                <w:noProof/>
                <w:webHidden/>
              </w:rPr>
              <w:fldChar w:fldCharType="begin"/>
            </w:r>
            <w:r>
              <w:rPr>
                <w:noProof/>
                <w:webHidden/>
              </w:rPr>
              <w:instrText xml:space="preserve"> PAGEREF _Toc468553631 \h </w:instrText>
            </w:r>
            <w:r>
              <w:rPr>
                <w:noProof/>
                <w:webHidden/>
              </w:rPr>
            </w:r>
            <w:r>
              <w:rPr>
                <w:noProof/>
                <w:webHidden/>
              </w:rPr>
              <w:fldChar w:fldCharType="separate"/>
            </w:r>
            <w:r>
              <w:rPr>
                <w:noProof/>
                <w:webHidden/>
              </w:rPr>
              <w:t>10</w:t>
            </w:r>
            <w:r>
              <w:rPr>
                <w:noProof/>
                <w:webHidden/>
              </w:rPr>
              <w:fldChar w:fldCharType="end"/>
            </w:r>
          </w:hyperlink>
        </w:p>
        <w:p w14:paraId="3F6EB1E6" w14:textId="77777777" w:rsidR="00430CE1" w:rsidRDefault="00430CE1">
          <w:pPr>
            <w:pStyle w:val="TOC3"/>
            <w:tabs>
              <w:tab w:val="right" w:leader="dot" w:pos="10457"/>
            </w:tabs>
            <w:rPr>
              <w:rFonts w:asciiTheme="minorHAnsi" w:eastAsiaTheme="minorEastAsia" w:hAnsiTheme="minorHAnsi" w:cstheme="minorBidi"/>
              <w:noProof/>
              <w:sz w:val="22"/>
              <w:szCs w:val="22"/>
              <w:lang w:val="en-US"/>
            </w:rPr>
          </w:pPr>
          <w:hyperlink w:anchor="_Toc468553632" w:history="1">
            <w:r w:rsidRPr="00781AFE">
              <w:rPr>
                <w:rStyle w:val="Hyperlink"/>
                <w:noProof/>
              </w:rPr>
              <w:t>Захтеви</w:t>
            </w:r>
            <w:r>
              <w:rPr>
                <w:noProof/>
                <w:webHidden/>
              </w:rPr>
              <w:tab/>
            </w:r>
            <w:r>
              <w:rPr>
                <w:noProof/>
                <w:webHidden/>
              </w:rPr>
              <w:fldChar w:fldCharType="begin"/>
            </w:r>
            <w:r>
              <w:rPr>
                <w:noProof/>
                <w:webHidden/>
              </w:rPr>
              <w:instrText xml:space="preserve"> PAGEREF _Toc468553632 \h </w:instrText>
            </w:r>
            <w:r>
              <w:rPr>
                <w:noProof/>
                <w:webHidden/>
              </w:rPr>
            </w:r>
            <w:r>
              <w:rPr>
                <w:noProof/>
                <w:webHidden/>
              </w:rPr>
              <w:fldChar w:fldCharType="separate"/>
            </w:r>
            <w:r>
              <w:rPr>
                <w:noProof/>
                <w:webHidden/>
              </w:rPr>
              <w:t>11</w:t>
            </w:r>
            <w:r>
              <w:rPr>
                <w:noProof/>
                <w:webHidden/>
              </w:rPr>
              <w:fldChar w:fldCharType="end"/>
            </w:r>
          </w:hyperlink>
        </w:p>
        <w:p w14:paraId="14AB8F7C" w14:textId="77777777" w:rsidR="00430CE1" w:rsidRDefault="00430CE1">
          <w:pPr>
            <w:pStyle w:val="TOC3"/>
            <w:tabs>
              <w:tab w:val="right" w:leader="dot" w:pos="10457"/>
            </w:tabs>
            <w:rPr>
              <w:rFonts w:asciiTheme="minorHAnsi" w:eastAsiaTheme="minorEastAsia" w:hAnsiTheme="minorHAnsi" w:cstheme="minorBidi"/>
              <w:noProof/>
              <w:sz w:val="22"/>
              <w:szCs w:val="22"/>
              <w:lang w:val="en-US"/>
            </w:rPr>
          </w:pPr>
          <w:hyperlink w:anchor="_Toc468553633" w:history="1">
            <w:r w:rsidRPr="00781AFE">
              <w:rPr>
                <w:rStyle w:val="Hyperlink"/>
                <w:noProof/>
              </w:rPr>
              <w:t>Контакт</w:t>
            </w:r>
            <w:r>
              <w:rPr>
                <w:noProof/>
                <w:webHidden/>
              </w:rPr>
              <w:tab/>
            </w:r>
            <w:r>
              <w:rPr>
                <w:noProof/>
                <w:webHidden/>
              </w:rPr>
              <w:fldChar w:fldCharType="begin"/>
            </w:r>
            <w:r>
              <w:rPr>
                <w:noProof/>
                <w:webHidden/>
              </w:rPr>
              <w:instrText xml:space="preserve"> PAGEREF _Toc468553633 \h </w:instrText>
            </w:r>
            <w:r>
              <w:rPr>
                <w:noProof/>
                <w:webHidden/>
              </w:rPr>
            </w:r>
            <w:r>
              <w:rPr>
                <w:noProof/>
                <w:webHidden/>
              </w:rPr>
              <w:fldChar w:fldCharType="separate"/>
            </w:r>
            <w:r>
              <w:rPr>
                <w:noProof/>
                <w:webHidden/>
              </w:rPr>
              <w:t>11</w:t>
            </w:r>
            <w:r>
              <w:rPr>
                <w:noProof/>
                <w:webHidden/>
              </w:rPr>
              <w:fldChar w:fldCharType="end"/>
            </w:r>
          </w:hyperlink>
        </w:p>
        <w:p w14:paraId="14AC541A" w14:textId="77777777" w:rsidR="00430CE1" w:rsidRDefault="00430CE1">
          <w:pPr>
            <w:pStyle w:val="TOC2"/>
            <w:tabs>
              <w:tab w:val="right" w:leader="dot" w:pos="10457"/>
            </w:tabs>
            <w:rPr>
              <w:rFonts w:asciiTheme="minorHAnsi" w:eastAsiaTheme="minorEastAsia" w:hAnsiTheme="minorHAnsi" w:cstheme="minorBidi"/>
              <w:noProof/>
              <w:sz w:val="22"/>
              <w:szCs w:val="22"/>
              <w:lang w:val="en-US"/>
            </w:rPr>
          </w:pPr>
          <w:hyperlink w:anchor="_Toc468553634" w:history="1">
            <w:r w:rsidRPr="00781AFE">
              <w:rPr>
                <w:rStyle w:val="Hyperlink"/>
                <w:noProof/>
              </w:rPr>
              <w:t>Технички захтеви презентације</w:t>
            </w:r>
            <w:r>
              <w:rPr>
                <w:noProof/>
                <w:webHidden/>
              </w:rPr>
              <w:tab/>
            </w:r>
            <w:r>
              <w:rPr>
                <w:noProof/>
                <w:webHidden/>
              </w:rPr>
              <w:fldChar w:fldCharType="begin"/>
            </w:r>
            <w:r>
              <w:rPr>
                <w:noProof/>
                <w:webHidden/>
              </w:rPr>
              <w:instrText xml:space="preserve"> PAGEREF _Toc468553634 \h </w:instrText>
            </w:r>
            <w:r>
              <w:rPr>
                <w:noProof/>
                <w:webHidden/>
              </w:rPr>
            </w:r>
            <w:r>
              <w:rPr>
                <w:noProof/>
                <w:webHidden/>
              </w:rPr>
              <w:fldChar w:fldCharType="separate"/>
            </w:r>
            <w:r>
              <w:rPr>
                <w:noProof/>
                <w:webHidden/>
              </w:rPr>
              <w:t>12</w:t>
            </w:r>
            <w:r>
              <w:rPr>
                <w:noProof/>
                <w:webHidden/>
              </w:rPr>
              <w:fldChar w:fldCharType="end"/>
            </w:r>
          </w:hyperlink>
        </w:p>
        <w:p w14:paraId="32232AEF" w14:textId="77777777" w:rsidR="00430CE1" w:rsidRDefault="00430CE1">
          <w:pPr>
            <w:pStyle w:val="TOC3"/>
            <w:tabs>
              <w:tab w:val="right" w:leader="dot" w:pos="10457"/>
            </w:tabs>
            <w:rPr>
              <w:rFonts w:asciiTheme="minorHAnsi" w:eastAsiaTheme="minorEastAsia" w:hAnsiTheme="minorHAnsi" w:cstheme="minorBidi"/>
              <w:noProof/>
              <w:sz w:val="22"/>
              <w:szCs w:val="22"/>
              <w:lang w:val="en-US"/>
            </w:rPr>
          </w:pPr>
          <w:hyperlink w:anchor="_Toc468553635" w:history="1">
            <w:r w:rsidRPr="00781AFE">
              <w:rPr>
                <w:rStyle w:val="Hyperlink"/>
                <w:noProof/>
              </w:rPr>
              <w:t>Писмо</w:t>
            </w:r>
            <w:r>
              <w:rPr>
                <w:noProof/>
                <w:webHidden/>
              </w:rPr>
              <w:tab/>
            </w:r>
            <w:r>
              <w:rPr>
                <w:noProof/>
                <w:webHidden/>
              </w:rPr>
              <w:fldChar w:fldCharType="begin"/>
            </w:r>
            <w:r>
              <w:rPr>
                <w:noProof/>
                <w:webHidden/>
              </w:rPr>
              <w:instrText xml:space="preserve"> PAGEREF _Toc468553635 \h </w:instrText>
            </w:r>
            <w:r>
              <w:rPr>
                <w:noProof/>
                <w:webHidden/>
              </w:rPr>
            </w:r>
            <w:r>
              <w:rPr>
                <w:noProof/>
                <w:webHidden/>
              </w:rPr>
              <w:fldChar w:fldCharType="separate"/>
            </w:r>
            <w:r>
              <w:rPr>
                <w:noProof/>
                <w:webHidden/>
              </w:rPr>
              <w:t>12</w:t>
            </w:r>
            <w:r>
              <w:rPr>
                <w:noProof/>
                <w:webHidden/>
              </w:rPr>
              <w:fldChar w:fldCharType="end"/>
            </w:r>
          </w:hyperlink>
        </w:p>
        <w:p w14:paraId="0A32E33A" w14:textId="77777777" w:rsidR="00430CE1" w:rsidRDefault="00430CE1">
          <w:pPr>
            <w:pStyle w:val="TOC3"/>
            <w:tabs>
              <w:tab w:val="right" w:leader="dot" w:pos="10457"/>
            </w:tabs>
            <w:rPr>
              <w:rFonts w:asciiTheme="minorHAnsi" w:eastAsiaTheme="minorEastAsia" w:hAnsiTheme="minorHAnsi" w:cstheme="minorBidi"/>
              <w:noProof/>
              <w:sz w:val="22"/>
              <w:szCs w:val="22"/>
              <w:lang w:val="en-US"/>
            </w:rPr>
          </w:pPr>
          <w:hyperlink w:anchor="_Toc468553636" w:history="1">
            <w:r w:rsidRPr="00781AFE">
              <w:rPr>
                <w:rStyle w:val="Hyperlink"/>
                <w:noProof/>
              </w:rPr>
              <w:t>Стандарди</w:t>
            </w:r>
            <w:r>
              <w:rPr>
                <w:noProof/>
                <w:webHidden/>
              </w:rPr>
              <w:tab/>
            </w:r>
            <w:r>
              <w:rPr>
                <w:noProof/>
                <w:webHidden/>
              </w:rPr>
              <w:fldChar w:fldCharType="begin"/>
            </w:r>
            <w:r>
              <w:rPr>
                <w:noProof/>
                <w:webHidden/>
              </w:rPr>
              <w:instrText xml:space="preserve"> PAGEREF _Toc468553636 \h </w:instrText>
            </w:r>
            <w:r>
              <w:rPr>
                <w:noProof/>
                <w:webHidden/>
              </w:rPr>
            </w:r>
            <w:r>
              <w:rPr>
                <w:noProof/>
                <w:webHidden/>
              </w:rPr>
              <w:fldChar w:fldCharType="separate"/>
            </w:r>
            <w:r>
              <w:rPr>
                <w:noProof/>
                <w:webHidden/>
              </w:rPr>
              <w:t>12</w:t>
            </w:r>
            <w:r>
              <w:rPr>
                <w:noProof/>
                <w:webHidden/>
              </w:rPr>
              <w:fldChar w:fldCharType="end"/>
            </w:r>
          </w:hyperlink>
        </w:p>
        <w:p w14:paraId="5D43D7B9" w14:textId="77777777" w:rsidR="00430CE1" w:rsidRDefault="00430CE1">
          <w:pPr>
            <w:pStyle w:val="TOC3"/>
            <w:tabs>
              <w:tab w:val="right" w:leader="dot" w:pos="10457"/>
            </w:tabs>
            <w:rPr>
              <w:rFonts w:asciiTheme="minorHAnsi" w:eastAsiaTheme="minorEastAsia" w:hAnsiTheme="minorHAnsi" w:cstheme="minorBidi"/>
              <w:noProof/>
              <w:sz w:val="22"/>
              <w:szCs w:val="22"/>
              <w:lang w:val="en-US"/>
            </w:rPr>
          </w:pPr>
          <w:hyperlink w:anchor="_Toc468553637" w:history="1">
            <w:r w:rsidRPr="00781AFE">
              <w:rPr>
                <w:rStyle w:val="Hyperlink"/>
                <w:noProof/>
              </w:rPr>
              <w:t>Препознатљивост</w:t>
            </w:r>
            <w:r>
              <w:rPr>
                <w:noProof/>
                <w:webHidden/>
              </w:rPr>
              <w:tab/>
            </w:r>
            <w:r>
              <w:rPr>
                <w:noProof/>
                <w:webHidden/>
              </w:rPr>
              <w:fldChar w:fldCharType="begin"/>
            </w:r>
            <w:r>
              <w:rPr>
                <w:noProof/>
                <w:webHidden/>
              </w:rPr>
              <w:instrText xml:space="preserve"> PAGEREF _Toc468553637 \h </w:instrText>
            </w:r>
            <w:r>
              <w:rPr>
                <w:noProof/>
                <w:webHidden/>
              </w:rPr>
            </w:r>
            <w:r>
              <w:rPr>
                <w:noProof/>
                <w:webHidden/>
              </w:rPr>
              <w:fldChar w:fldCharType="separate"/>
            </w:r>
            <w:r>
              <w:rPr>
                <w:noProof/>
                <w:webHidden/>
              </w:rPr>
              <w:t>12</w:t>
            </w:r>
            <w:r>
              <w:rPr>
                <w:noProof/>
                <w:webHidden/>
              </w:rPr>
              <w:fldChar w:fldCharType="end"/>
            </w:r>
          </w:hyperlink>
        </w:p>
        <w:p w14:paraId="0EB7C221" w14:textId="77777777" w:rsidR="00430CE1" w:rsidRDefault="00430CE1">
          <w:pPr>
            <w:pStyle w:val="TOC3"/>
            <w:tabs>
              <w:tab w:val="right" w:leader="dot" w:pos="10457"/>
            </w:tabs>
            <w:rPr>
              <w:rFonts w:asciiTheme="minorHAnsi" w:eastAsiaTheme="minorEastAsia" w:hAnsiTheme="minorHAnsi" w:cstheme="minorBidi"/>
              <w:noProof/>
              <w:sz w:val="22"/>
              <w:szCs w:val="22"/>
              <w:lang w:val="en-US"/>
            </w:rPr>
          </w:pPr>
          <w:hyperlink w:anchor="_Toc468553638" w:history="1">
            <w:r w:rsidRPr="00781AFE">
              <w:rPr>
                <w:rStyle w:val="Hyperlink"/>
                <w:noProof/>
              </w:rPr>
              <w:t>Прилагођеност мобилним уређајима</w:t>
            </w:r>
            <w:r>
              <w:rPr>
                <w:noProof/>
                <w:webHidden/>
              </w:rPr>
              <w:tab/>
            </w:r>
            <w:r>
              <w:rPr>
                <w:noProof/>
                <w:webHidden/>
              </w:rPr>
              <w:fldChar w:fldCharType="begin"/>
            </w:r>
            <w:r>
              <w:rPr>
                <w:noProof/>
                <w:webHidden/>
              </w:rPr>
              <w:instrText xml:space="preserve"> PAGEREF _Toc468553638 \h </w:instrText>
            </w:r>
            <w:r>
              <w:rPr>
                <w:noProof/>
                <w:webHidden/>
              </w:rPr>
            </w:r>
            <w:r>
              <w:rPr>
                <w:noProof/>
                <w:webHidden/>
              </w:rPr>
              <w:fldChar w:fldCharType="separate"/>
            </w:r>
            <w:r>
              <w:rPr>
                <w:noProof/>
                <w:webHidden/>
              </w:rPr>
              <w:t>12</w:t>
            </w:r>
            <w:r>
              <w:rPr>
                <w:noProof/>
                <w:webHidden/>
              </w:rPr>
              <w:fldChar w:fldCharType="end"/>
            </w:r>
          </w:hyperlink>
        </w:p>
        <w:p w14:paraId="3A9F315F" w14:textId="77777777" w:rsidR="00430CE1" w:rsidRDefault="00430CE1">
          <w:pPr>
            <w:pStyle w:val="TOC1"/>
            <w:tabs>
              <w:tab w:val="right" w:leader="dot" w:pos="10457"/>
            </w:tabs>
            <w:rPr>
              <w:rFonts w:asciiTheme="minorHAnsi" w:eastAsiaTheme="minorEastAsia" w:hAnsiTheme="minorHAnsi" w:cstheme="minorBidi"/>
              <w:noProof/>
              <w:sz w:val="22"/>
              <w:szCs w:val="22"/>
              <w:lang w:val="en-US"/>
            </w:rPr>
          </w:pPr>
          <w:hyperlink w:anchor="_Toc468553639" w:history="1">
            <w:r w:rsidRPr="00781AFE">
              <w:rPr>
                <w:rStyle w:val="Hyperlink"/>
                <w:noProof/>
              </w:rPr>
              <w:t>Анализа постојећег стања</w:t>
            </w:r>
            <w:r>
              <w:rPr>
                <w:noProof/>
                <w:webHidden/>
              </w:rPr>
              <w:tab/>
            </w:r>
            <w:r>
              <w:rPr>
                <w:noProof/>
                <w:webHidden/>
              </w:rPr>
              <w:fldChar w:fldCharType="begin"/>
            </w:r>
            <w:r>
              <w:rPr>
                <w:noProof/>
                <w:webHidden/>
              </w:rPr>
              <w:instrText xml:space="preserve"> PAGEREF _Toc468553639 \h </w:instrText>
            </w:r>
            <w:r>
              <w:rPr>
                <w:noProof/>
                <w:webHidden/>
              </w:rPr>
            </w:r>
            <w:r>
              <w:rPr>
                <w:noProof/>
                <w:webHidden/>
              </w:rPr>
              <w:fldChar w:fldCharType="separate"/>
            </w:r>
            <w:r>
              <w:rPr>
                <w:noProof/>
                <w:webHidden/>
              </w:rPr>
              <w:t>13</w:t>
            </w:r>
            <w:r>
              <w:rPr>
                <w:noProof/>
                <w:webHidden/>
              </w:rPr>
              <w:fldChar w:fldCharType="end"/>
            </w:r>
          </w:hyperlink>
        </w:p>
        <w:p w14:paraId="0835EAFF" w14:textId="77777777" w:rsidR="00430CE1" w:rsidRDefault="00430CE1">
          <w:pPr>
            <w:pStyle w:val="TOC1"/>
            <w:tabs>
              <w:tab w:val="right" w:leader="dot" w:pos="10457"/>
            </w:tabs>
            <w:rPr>
              <w:rFonts w:asciiTheme="minorHAnsi" w:eastAsiaTheme="minorEastAsia" w:hAnsiTheme="minorHAnsi" w:cstheme="minorBidi"/>
              <w:noProof/>
              <w:sz w:val="22"/>
              <w:szCs w:val="22"/>
              <w:lang w:val="en-US"/>
            </w:rPr>
          </w:pPr>
          <w:hyperlink w:anchor="_Toc468553640" w:history="1">
            <w:r w:rsidRPr="00781AFE">
              <w:rPr>
                <w:rStyle w:val="Hyperlink"/>
                <w:noProof/>
              </w:rPr>
              <w:t>Закључак</w:t>
            </w:r>
            <w:r>
              <w:rPr>
                <w:noProof/>
                <w:webHidden/>
              </w:rPr>
              <w:tab/>
            </w:r>
            <w:r>
              <w:rPr>
                <w:noProof/>
                <w:webHidden/>
              </w:rPr>
              <w:fldChar w:fldCharType="begin"/>
            </w:r>
            <w:r>
              <w:rPr>
                <w:noProof/>
                <w:webHidden/>
              </w:rPr>
              <w:instrText xml:space="preserve"> PAGEREF _Toc468553640 \h </w:instrText>
            </w:r>
            <w:r>
              <w:rPr>
                <w:noProof/>
                <w:webHidden/>
              </w:rPr>
            </w:r>
            <w:r>
              <w:rPr>
                <w:noProof/>
                <w:webHidden/>
              </w:rPr>
              <w:fldChar w:fldCharType="separate"/>
            </w:r>
            <w:r>
              <w:rPr>
                <w:noProof/>
                <w:webHidden/>
              </w:rPr>
              <w:t>15</w:t>
            </w:r>
            <w:r>
              <w:rPr>
                <w:noProof/>
                <w:webHidden/>
              </w:rPr>
              <w:fldChar w:fldCharType="end"/>
            </w:r>
          </w:hyperlink>
        </w:p>
        <w:p w14:paraId="1784F82E" w14:textId="77777777" w:rsidR="00430CE1" w:rsidRDefault="00430CE1">
          <w:pPr>
            <w:pStyle w:val="TOC2"/>
            <w:tabs>
              <w:tab w:val="right" w:leader="dot" w:pos="10457"/>
            </w:tabs>
            <w:rPr>
              <w:rFonts w:asciiTheme="minorHAnsi" w:eastAsiaTheme="minorEastAsia" w:hAnsiTheme="minorHAnsi" w:cstheme="minorBidi"/>
              <w:noProof/>
              <w:sz w:val="22"/>
              <w:szCs w:val="22"/>
              <w:lang w:val="en-US"/>
            </w:rPr>
          </w:pPr>
          <w:hyperlink w:anchor="_Toc468553641" w:history="1">
            <w:r w:rsidRPr="00781AFE">
              <w:rPr>
                <w:rStyle w:val="Hyperlink"/>
                <w:noProof/>
              </w:rPr>
              <w:t>Предлог заједничке платформе за објављивање информација</w:t>
            </w:r>
            <w:r>
              <w:rPr>
                <w:noProof/>
                <w:webHidden/>
              </w:rPr>
              <w:tab/>
            </w:r>
            <w:r>
              <w:rPr>
                <w:noProof/>
                <w:webHidden/>
              </w:rPr>
              <w:fldChar w:fldCharType="begin"/>
            </w:r>
            <w:r>
              <w:rPr>
                <w:noProof/>
                <w:webHidden/>
              </w:rPr>
              <w:instrText xml:space="preserve"> PAGEREF _Toc468553641 \h </w:instrText>
            </w:r>
            <w:r>
              <w:rPr>
                <w:noProof/>
                <w:webHidden/>
              </w:rPr>
            </w:r>
            <w:r>
              <w:rPr>
                <w:noProof/>
                <w:webHidden/>
              </w:rPr>
              <w:fldChar w:fldCharType="separate"/>
            </w:r>
            <w:r>
              <w:rPr>
                <w:noProof/>
                <w:webHidden/>
              </w:rPr>
              <w:t>15</w:t>
            </w:r>
            <w:r>
              <w:rPr>
                <w:noProof/>
                <w:webHidden/>
              </w:rPr>
              <w:fldChar w:fldCharType="end"/>
            </w:r>
          </w:hyperlink>
        </w:p>
        <w:p w14:paraId="6331B162" w14:textId="77777777" w:rsidR="00430CE1" w:rsidRDefault="00430CE1">
          <w:pPr>
            <w:pStyle w:val="TOC1"/>
            <w:tabs>
              <w:tab w:val="right" w:leader="dot" w:pos="10457"/>
            </w:tabs>
            <w:rPr>
              <w:rFonts w:asciiTheme="minorHAnsi" w:eastAsiaTheme="minorEastAsia" w:hAnsiTheme="minorHAnsi" w:cstheme="minorBidi"/>
              <w:noProof/>
              <w:sz w:val="22"/>
              <w:szCs w:val="22"/>
              <w:lang w:val="en-US"/>
            </w:rPr>
          </w:pPr>
          <w:hyperlink w:anchor="_Toc468553642" w:history="1">
            <w:r w:rsidRPr="00781AFE">
              <w:rPr>
                <w:rStyle w:val="Hyperlink"/>
                <w:noProof/>
              </w:rPr>
              <w:t>Референце</w:t>
            </w:r>
            <w:r>
              <w:rPr>
                <w:noProof/>
                <w:webHidden/>
              </w:rPr>
              <w:tab/>
            </w:r>
            <w:r>
              <w:rPr>
                <w:noProof/>
                <w:webHidden/>
              </w:rPr>
              <w:fldChar w:fldCharType="begin"/>
            </w:r>
            <w:r>
              <w:rPr>
                <w:noProof/>
                <w:webHidden/>
              </w:rPr>
              <w:instrText xml:space="preserve"> PAGEREF _Toc468553642 \h </w:instrText>
            </w:r>
            <w:r>
              <w:rPr>
                <w:noProof/>
                <w:webHidden/>
              </w:rPr>
            </w:r>
            <w:r>
              <w:rPr>
                <w:noProof/>
                <w:webHidden/>
              </w:rPr>
              <w:fldChar w:fldCharType="separate"/>
            </w:r>
            <w:r>
              <w:rPr>
                <w:noProof/>
                <w:webHidden/>
              </w:rPr>
              <w:t>16</w:t>
            </w:r>
            <w:r>
              <w:rPr>
                <w:noProof/>
                <w:webHidden/>
              </w:rPr>
              <w:fldChar w:fldCharType="end"/>
            </w:r>
          </w:hyperlink>
        </w:p>
        <w:p w14:paraId="046EF10B" w14:textId="77777777" w:rsidR="00430CE1" w:rsidRDefault="00430CE1">
          <w:pPr>
            <w:pStyle w:val="TOC1"/>
            <w:tabs>
              <w:tab w:val="right" w:leader="dot" w:pos="10457"/>
            </w:tabs>
            <w:rPr>
              <w:rFonts w:asciiTheme="minorHAnsi" w:eastAsiaTheme="minorEastAsia" w:hAnsiTheme="minorHAnsi" w:cstheme="minorBidi"/>
              <w:noProof/>
              <w:sz w:val="22"/>
              <w:szCs w:val="22"/>
              <w:lang w:val="en-US"/>
            </w:rPr>
          </w:pPr>
          <w:hyperlink w:anchor="_Toc468553643" w:history="1">
            <w:r w:rsidRPr="00781AFE">
              <w:rPr>
                <w:rStyle w:val="Hyperlink"/>
                <w:noProof/>
              </w:rPr>
              <w:t>Анекси</w:t>
            </w:r>
            <w:r>
              <w:rPr>
                <w:noProof/>
                <w:webHidden/>
              </w:rPr>
              <w:tab/>
            </w:r>
            <w:r>
              <w:rPr>
                <w:noProof/>
                <w:webHidden/>
              </w:rPr>
              <w:fldChar w:fldCharType="begin"/>
            </w:r>
            <w:r>
              <w:rPr>
                <w:noProof/>
                <w:webHidden/>
              </w:rPr>
              <w:instrText xml:space="preserve"> PAGEREF _Toc468553643 \h </w:instrText>
            </w:r>
            <w:r>
              <w:rPr>
                <w:noProof/>
                <w:webHidden/>
              </w:rPr>
            </w:r>
            <w:r>
              <w:rPr>
                <w:noProof/>
                <w:webHidden/>
              </w:rPr>
              <w:fldChar w:fldCharType="separate"/>
            </w:r>
            <w:r>
              <w:rPr>
                <w:noProof/>
                <w:webHidden/>
              </w:rPr>
              <w:t>17</w:t>
            </w:r>
            <w:r>
              <w:rPr>
                <w:noProof/>
                <w:webHidden/>
              </w:rPr>
              <w:fldChar w:fldCharType="end"/>
            </w:r>
          </w:hyperlink>
        </w:p>
        <w:p w14:paraId="5EAF5E8D" w14:textId="4CC23F27" w:rsidR="00A85627" w:rsidRDefault="00A85627">
          <w:r>
            <w:rPr>
              <w:b/>
              <w:bCs/>
              <w:noProof/>
            </w:rPr>
            <w:fldChar w:fldCharType="end"/>
          </w:r>
        </w:p>
      </w:sdtContent>
    </w:sdt>
    <w:p w14:paraId="2A0F44ED" w14:textId="77777777" w:rsidR="00A85627" w:rsidRPr="00BB7217" w:rsidRDefault="00A85627" w:rsidP="00DF7C33"/>
    <w:p w14:paraId="75F54A37" w14:textId="7137267A" w:rsidR="008A4EB2" w:rsidRPr="00BB7217" w:rsidRDefault="00E90122" w:rsidP="00DF7C33">
      <w:pPr>
        <w:pStyle w:val="Heading1"/>
      </w:pPr>
      <w:bookmarkStart w:id="1" w:name="_Toc468269531"/>
      <w:bookmarkStart w:id="2" w:name="_Toc468553611"/>
      <w:r w:rsidRPr="00BB7217">
        <w:lastRenderedPageBreak/>
        <w:t>Увод</w:t>
      </w:r>
      <w:bookmarkEnd w:id="1"/>
      <w:bookmarkEnd w:id="2"/>
    </w:p>
    <w:p w14:paraId="33FE282A" w14:textId="274D1E12" w:rsidR="00D329A2" w:rsidRPr="00BB7217" w:rsidRDefault="00D329A2" w:rsidP="00DF7C33">
      <w:pPr>
        <w:pStyle w:val="Tekst"/>
      </w:pPr>
      <w:r w:rsidRPr="00BB7217">
        <w:t>Доношењем Закона о Инспекцијском Надзору (</w:t>
      </w:r>
      <w:r w:rsidR="00BD1085">
        <w:t>ЗИН</w:t>
      </w:r>
      <w:r w:rsidRPr="00BB7217">
        <w:t xml:space="preserve">) 2015 године Скупштина Србије отвара пут за промену парадигме инспекцијског надзора. Наиме, до доношења Закона никада није спроведена суштинска реформа инспекцијског надзора. Привредници су са зебњом дочекивали инспекторе јер нису знали шта их чека током и након надзора. Стандардизација поступака и координација рада између различитих инспекцијских служби није постојала, као ни транспарентност поступка контроле. </w:t>
      </w:r>
    </w:p>
    <w:p w14:paraId="1567B777" w14:textId="0D775A1C" w:rsidR="00D329A2" w:rsidRPr="00BB7217" w:rsidRDefault="00D329A2" w:rsidP="00DF7C33">
      <w:pPr>
        <w:pStyle w:val="Tekst"/>
      </w:pPr>
      <w:r w:rsidRPr="00BB7217">
        <w:t>Доношењу закона претходила је анализа</w:t>
      </w:r>
      <w:r w:rsidR="00FD1944" w:rsidRPr="00BB7217">
        <w:t>, одржаване су студијске посете земљама које гаје добру инспекцијску праксу, консултовани су домаћи и страни експерти</w:t>
      </w:r>
      <w:r w:rsidRPr="00BB7217">
        <w:t xml:space="preserve"> а у току процеса доношења </w:t>
      </w:r>
      <w:r w:rsidR="00FD1944" w:rsidRPr="00BB7217">
        <w:t>закона је покренута широка јавна расправа. Резултат је закон који је позитивно оцењен не само од стране невладиних организација, већ и Европске Комисије.</w:t>
      </w:r>
    </w:p>
    <w:p w14:paraId="1BB45BAB" w14:textId="60F86177" w:rsidR="00D17F66" w:rsidRPr="00BB7217" w:rsidRDefault="00F24481" w:rsidP="00CD1CF2">
      <w:pPr>
        <w:pStyle w:val="Tekst"/>
      </w:pPr>
      <w:r w:rsidRPr="00BB7217">
        <w:t>Један од механизама којима се остварују услови за законит и правилан рад руководилаца инспекција и инспектора су:</w:t>
      </w:r>
      <w:r w:rsidR="00CD1CF2" w:rsidRPr="00BB7217">
        <w:t xml:space="preserve"> </w:t>
      </w:r>
      <w:r w:rsidRPr="00BB7217">
        <w:t>Информациони системи и софтверска решења којима се омогућава транспарентност („видљивост“) рада и поступања инспекције, уједначавање инспекцијске праксе, правовремен увид у податке, праћење предмета, процена ризика, праћење и анализа стања у областима и превенција корупције.</w:t>
      </w:r>
      <w:r w:rsidR="00D17F66" w:rsidRPr="00BB7217">
        <w:rPr>
          <w:rStyle w:val="FootnoteReference"/>
        </w:rPr>
        <w:footnoteReference w:id="1"/>
      </w:r>
    </w:p>
    <w:p w14:paraId="3E9F1FA7" w14:textId="0AF4B11C" w:rsidR="00CD1CF2" w:rsidRPr="00BB7217" w:rsidRDefault="00CD1CF2" w:rsidP="00CD1CF2">
      <w:pPr>
        <w:pStyle w:val="Tekst"/>
      </w:pPr>
      <w:r w:rsidRPr="00BB7217">
        <w:t xml:space="preserve">Битна новина коју доноси </w:t>
      </w:r>
      <w:r w:rsidR="00BD1085">
        <w:t>ЗИН</w:t>
      </w:r>
      <w:r w:rsidRPr="00BB7217">
        <w:t xml:space="preserve">, која је и основа за овај документ, је регулисање </w:t>
      </w:r>
      <w:r w:rsidRPr="00BB7217">
        <w:rPr>
          <w:i/>
        </w:rPr>
        <w:t>јавности рада</w:t>
      </w:r>
      <w:r w:rsidRPr="00BB7217">
        <w:t xml:space="preserve"> инспекција у циљу превентивног деловања. Наиме, Законским одредбама су прецизиране активности које то омогућавају, као што су нпр. објављивање планова инспекцијског надзора, контролних листа и обавештавање јавности о променама прописа и правима и обавезама који из њих произлазе. Штавише, Закон дефинише и интернет странице инспекције као механизам за објављивање информација и података.</w:t>
      </w:r>
    </w:p>
    <w:p w14:paraId="5C00A5E3" w14:textId="31BF96F3" w:rsidR="008A4EB2" w:rsidRPr="00BB7217" w:rsidRDefault="00E90122" w:rsidP="00DF7C33">
      <w:pPr>
        <w:pStyle w:val="Heading2"/>
      </w:pPr>
      <w:bookmarkStart w:id="3" w:name="_Toc468269532"/>
      <w:bookmarkStart w:id="4" w:name="_Toc468553612"/>
      <w:r w:rsidRPr="00BB7217">
        <w:t>Циљ</w:t>
      </w:r>
      <w:r w:rsidR="008A4EB2" w:rsidRPr="00BB7217">
        <w:t xml:space="preserve"> </w:t>
      </w:r>
      <w:r w:rsidRPr="00BB7217">
        <w:t>документа</w:t>
      </w:r>
      <w:bookmarkEnd w:id="3"/>
      <w:bookmarkEnd w:id="4"/>
    </w:p>
    <w:p w14:paraId="4FF9ADC2" w14:textId="56E252B3" w:rsidR="00772FC9" w:rsidRPr="00BB7217" w:rsidRDefault="002D4C38" w:rsidP="002D4C38">
      <w:pPr>
        <w:pStyle w:val="Tekst"/>
      </w:pPr>
      <w:r w:rsidRPr="00BB7217">
        <w:t>Циљ документа је а</w:t>
      </w:r>
      <w:r w:rsidR="00E90122" w:rsidRPr="00BB7217">
        <w:t>нализирати</w:t>
      </w:r>
      <w:r w:rsidR="00A93535" w:rsidRPr="00BB7217">
        <w:t xml:space="preserve"> </w:t>
      </w:r>
      <w:r w:rsidR="00E90122" w:rsidRPr="00BB7217">
        <w:t>законски</w:t>
      </w:r>
      <w:r w:rsidR="00A93535" w:rsidRPr="00BB7217">
        <w:t xml:space="preserve"> </w:t>
      </w:r>
      <w:r w:rsidR="00E90122" w:rsidRPr="00BB7217">
        <w:t>оквир</w:t>
      </w:r>
      <w:r w:rsidR="00A93535" w:rsidRPr="00BB7217">
        <w:t xml:space="preserve"> </w:t>
      </w:r>
      <w:r w:rsidR="00E90122" w:rsidRPr="00BB7217">
        <w:t>који</w:t>
      </w:r>
      <w:r w:rsidR="00A93535" w:rsidRPr="00BB7217">
        <w:t xml:space="preserve"> </w:t>
      </w:r>
      <w:r w:rsidR="00E90122" w:rsidRPr="00BB7217">
        <w:t>се</w:t>
      </w:r>
      <w:r w:rsidR="00A93535" w:rsidRPr="00BB7217">
        <w:t xml:space="preserve"> </w:t>
      </w:r>
      <w:r w:rsidR="00E90122" w:rsidRPr="00BB7217">
        <w:t>односи</w:t>
      </w:r>
      <w:r w:rsidR="00A93535" w:rsidRPr="00BB7217">
        <w:t xml:space="preserve"> </w:t>
      </w:r>
      <w:r w:rsidR="00E90122" w:rsidRPr="00BB7217">
        <w:t>на</w:t>
      </w:r>
      <w:r w:rsidR="00A93535" w:rsidRPr="00BB7217">
        <w:t xml:space="preserve"> </w:t>
      </w:r>
      <w:r w:rsidR="00E90122" w:rsidRPr="00BB7217">
        <w:t>јавност</w:t>
      </w:r>
      <w:r w:rsidR="00A93535" w:rsidRPr="00BB7217">
        <w:t xml:space="preserve"> </w:t>
      </w:r>
      <w:r w:rsidR="00E90122" w:rsidRPr="00BB7217">
        <w:t>рада</w:t>
      </w:r>
      <w:r w:rsidR="00A93535" w:rsidRPr="00BB7217">
        <w:t xml:space="preserve"> </w:t>
      </w:r>
      <w:r w:rsidR="00E90122" w:rsidRPr="00BB7217">
        <w:t>инспекцијских</w:t>
      </w:r>
      <w:r w:rsidR="00A93535" w:rsidRPr="00BB7217">
        <w:t xml:space="preserve"> </w:t>
      </w:r>
      <w:r w:rsidR="00E90122" w:rsidRPr="00BB7217">
        <w:t>служби</w:t>
      </w:r>
      <w:r w:rsidR="00A93535" w:rsidRPr="00BB7217">
        <w:t xml:space="preserve"> </w:t>
      </w:r>
      <w:r w:rsidR="00E90122" w:rsidRPr="00BB7217">
        <w:t>и</w:t>
      </w:r>
      <w:r w:rsidR="00A93535" w:rsidRPr="00BB7217">
        <w:t xml:space="preserve"> </w:t>
      </w:r>
      <w:r w:rsidR="00E90122" w:rsidRPr="00BB7217">
        <w:t>елементе</w:t>
      </w:r>
      <w:r w:rsidR="00A93535" w:rsidRPr="00BB7217">
        <w:t xml:space="preserve"> </w:t>
      </w:r>
      <w:r w:rsidR="00E90122" w:rsidRPr="00BB7217">
        <w:t>које</w:t>
      </w:r>
      <w:r w:rsidR="00A93535" w:rsidRPr="00BB7217">
        <w:t xml:space="preserve"> </w:t>
      </w:r>
      <w:r w:rsidR="00E90122" w:rsidRPr="00BB7217">
        <w:t>је</w:t>
      </w:r>
      <w:r w:rsidR="00A93535" w:rsidRPr="00BB7217">
        <w:t xml:space="preserve"> </w:t>
      </w:r>
      <w:r w:rsidR="00E90122" w:rsidRPr="00BB7217">
        <w:t>потребно</w:t>
      </w:r>
      <w:r w:rsidR="00A93535" w:rsidRPr="00BB7217">
        <w:t xml:space="preserve"> </w:t>
      </w:r>
      <w:r w:rsidR="00E90122" w:rsidRPr="00BB7217">
        <w:t>учинити</w:t>
      </w:r>
      <w:r w:rsidR="00A93535" w:rsidRPr="00BB7217">
        <w:t xml:space="preserve"> </w:t>
      </w:r>
      <w:r w:rsidR="00E90122" w:rsidRPr="00BB7217">
        <w:t>јавним</w:t>
      </w:r>
      <w:r w:rsidR="000D27B3" w:rsidRPr="00BB7217">
        <w:t>.</w:t>
      </w:r>
      <w:r w:rsidRPr="00BB7217">
        <w:t xml:space="preserve"> На основу анализе с</w:t>
      </w:r>
      <w:r w:rsidR="00772FC9" w:rsidRPr="00BB7217">
        <w:t>пецифицирати стручно-техничку основу (модел) за објављивање документације и информације инспекцијских служби</w:t>
      </w:r>
      <w:r w:rsidR="00D17F66" w:rsidRPr="00BB7217">
        <w:t xml:space="preserve">. Овај модел треба да омогући инспекцијским службама да на једноставан начин </w:t>
      </w:r>
      <w:r w:rsidRPr="00BB7217">
        <w:t xml:space="preserve">дају </w:t>
      </w:r>
      <w:r w:rsidR="00D17F66" w:rsidRPr="00BB7217">
        <w:t>техничке захтеве приликом израде или измене интернет презентација. Спецификација садржи обавезне елементе презентација, начин на који је потребно објављивати информације, техничку спецификацију стандарда за објављивање и друге елементе које презентација треба да испуњава.</w:t>
      </w:r>
    </w:p>
    <w:p w14:paraId="757466E9" w14:textId="62900BBE" w:rsidR="00807460" w:rsidRPr="00BB7217" w:rsidRDefault="00D17F66" w:rsidP="002D4C38">
      <w:pPr>
        <w:pStyle w:val="Tekst"/>
      </w:pPr>
      <w:r w:rsidRPr="00BB7217">
        <w:t>По узору на контролне листе ће бити дат електрон</w:t>
      </w:r>
      <w:r w:rsidR="002D4C38" w:rsidRPr="00BB7217">
        <w:t>ски формулар као прилог за само-</w:t>
      </w:r>
      <w:r w:rsidRPr="00BB7217">
        <w:t>оцењивање постојећих презентација и контролисање у процесу израде нових. Анализа постојећег стања ће бити израђена користећи ове</w:t>
      </w:r>
      <w:r w:rsidR="00807460" w:rsidRPr="00BB7217">
        <w:t xml:space="preserve"> контролне листе увидом у постојеће интернет презентације. </w:t>
      </w:r>
    </w:p>
    <w:p w14:paraId="1E6BA0DA" w14:textId="3872AD87" w:rsidR="00D17F66" w:rsidRPr="00BB7217" w:rsidRDefault="00807460" w:rsidP="00DF7C33">
      <w:r w:rsidRPr="00BB7217">
        <w:t>Анализирати капацитет</w:t>
      </w:r>
      <w:r w:rsidR="00704B5B">
        <w:t xml:space="preserve"> и тренутно стање презентација шест</w:t>
      </w:r>
      <w:r w:rsidRPr="00BB7217">
        <w:t xml:space="preserve"> инспекцијских служби за остваривање комун</w:t>
      </w:r>
      <w:r w:rsidR="00704B5B">
        <w:t>икације интернет технологијама</w:t>
      </w:r>
      <w:r w:rsidRPr="00BB7217">
        <w:t>.</w:t>
      </w:r>
      <w:r w:rsidR="00704B5B">
        <w:t xml:space="preserve"> Анализа ће се спроводити према дефинисаном моделу и оцењивати помоћу електронског обрасца креираним овим пројектом.</w:t>
      </w:r>
    </w:p>
    <w:p w14:paraId="37A57AED" w14:textId="349EE756" w:rsidR="007744B2" w:rsidRPr="00BB7217" w:rsidRDefault="00E90122" w:rsidP="007744B2">
      <w:pPr>
        <w:pStyle w:val="Heading1"/>
      </w:pPr>
      <w:bookmarkStart w:id="5" w:name="_Toc468269533"/>
      <w:bookmarkStart w:id="6" w:name="_Toc468553613"/>
      <w:r w:rsidRPr="00BB7217">
        <w:lastRenderedPageBreak/>
        <w:t>Законски</w:t>
      </w:r>
      <w:r w:rsidR="008A4EB2" w:rsidRPr="00BB7217">
        <w:t xml:space="preserve"> </w:t>
      </w:r>
      <w:r w:rsidRPr="00BB7217">
        <w:t>оквир</w:t>
      </w:r>
      <w:bookmarkEnd w:id="5"/>
      <w:bookmarkEnd w:id="6"/>
    </w:p>
    <w:p w14:paraId="33DE2DD4" w14:textId="0477A1A2" w:rsidR="008D6233" w:rsidRPr="003E400E" w:rsidRDefault="007744B2" w:rsidP="002D4C38">
      <w:pPr>
        <w:pStyle w:val="Tekst"/>
      </w:pPr>
      <w:r w:rsidRPr="00BB7217">
        <w:t>Студија коју је 2011. године спровео USAID BEP показала је да је недостатак „хоризонталног“ закона о инспекцијама једна од кључних препрека у овој области, нарочито ако се узме у обзир да преко 1</w:t>
      </w:r>
      <w:r w:rsidR="00FE1889" w:rsidRPr="00BB7217">
        <w:t>.</w:t>
      </w:r>
      <w:r w:rsidRPr="00BB7217">
        <w:t>000 закона и подзаконских аката уређује рад инспекција.</w:t>
      </w:r>
      <w:r w:rsidR="00B41B2C" w:rsidRPr="00BB7217">
        <w:rPr>
          <w:rStyle w:val="FootnoteReference"/>
        </w:rPr>
        <w:footnoteReference w:id="2"/>
      </w:r>
      <w:r w:rsidRPr="00BB7217">
        <w:t xml:space="preserve"> </w:t>
      </w:r>
      <w:r w:rsidR="000D27B3" w:rsidRPr="00BB7217">
        <w:t>Доношењем</w:t>
      </w:r>
      <w:r w:rsidR="00556636" w:rsidRPr="00BB7217">
        <w:t xml:space="preserve"> </w:t>
      </w:r>
      <w:r w:rsidR="00556636" w:rsidRPr="00BB7217">
        <w:rPr>
          <w:i/>
        </w:rPr>
        <w:t>Закона о инспекцијском надзору</w:t>
      </w:r>
      <w:r w:rsidR="00D17F66" w:rsidRPr="00BB7217">
        <w:rPr>
          <w:rStyle w:val="FootnoteReference"/>
        </w:rPr>
        <w:footnoteReference w:id="3"/>
      </w:r>
      <w:r w:rsidR="00D17F66" w:rsidRPr="00BB7217">
        <w:t xml:space="preserve"> </w:t>
      </w:r>
      <w:r w:rsidR="000D27B3" w:rsidRPr="00BB7217">
        <w:t xml:space="preserve">ствара се основ за реформу вршења инспекцијског надзора. </w:t>
      </w:r>
      <w:r w:rsidR="008D6233" w:rsidRPr="00BB7217">
        <w:t xml:space="preserve">Увођењем хоризонталног приступа полазна основа за креирање модела за објављивање информација је створена. </w:t>
      </w:r>
      <w:r w:rsidR="003E400E">
        <w:t>Промена коју у регулативи може се најбоље илустровати новом анкетом 1000 предузећа</w:t>
      </w:r>
      <w:r w:rsidR="003E400E">
        <w:rPr>
          <w:rStyle w:val="FootnoteReference"/>
        </w:rPr>
        <w:footnoteReference w:id="4"/>
      </w:r>
      <w:r w:rsidR="003E400E">
        <w:t>, спроведеном 2016 у којој 72% испитаника каже да су прописи о инспекцијском надзору јасни и доступни, у односу на 28% испитани</w:t>
      </w:r>
      <w:r w:rsidR="007A61A4">
        <w:t xml:space="preserve">ка </w:t>
      </w:r>
      <w:r w:rsidR="003E400E">
        <w:t>2011 године.</w:t>
      </w:r>
    </w:p>
    <w:p w14:paraId="36688B39" w14:textId="3EC97658" w:rsidR="00740237" w:rsidRPr="00BB7217" w:rsidRDefault="00740237" w:rsidP="002D4C38">
      <w:pPr>
        <w:pStyle w:val="Tekst"/>
      </w:pPr>
      <w:r w:rsidRPr="00BB7217">
        <w:t xml:space="preserve">Марта 2016. године усвојен је нови </w:t>
      </w:r>
      <w:r w:rsidRPr="00BB7217">
        <w:rPr>
          <w:i/>
        </w:rPr>
        <w:t>Закон о општем управном поступку</w:t>
      </w:r>
      <w:r w:rsidRPr="00BB7217">
        <w:rPr>
          <w:rStyle w:val="FootnoteReference"/>
        </w:rPr>
        <w:footnoteReference w:id="5"/>
      </w:r>
      <w:r w:rsidRPr="00BB7217">
        <w:t xml:space="preserve"> који је представљен не само као кључни правни ослонац јавне управе, већ и као снажан механизам за дуго очекивану трансформације јавне управе у сервис грађана и привреде. Овај закон унео је низ битних промена које се тичу начина функционисања органа управе и њихове комуникације са грађанима и привредом.</w:t>
      </w:r>
    </w:p>
    <w:p w14:paraId="0EA2AFB2" w14:textId="474481F5" w:rsidR="007D7590" w:rsidRPr="00BB7217" w:rsidRDefault="004C6E4C" w:rsidP="004C6E4C">
      <w:pPr>
        <w:pStyle w:val="Tekst"/>
      </w:pPr>
      <w:r w:rsidRPr="00BB7217">
        <w:t xml:space="preserve">Акционим планом за спровођење иницијативе </w:t>
      </w:r>
      <w:r w:rsidRPr="00BB7217">
        <w:rPr>
          <w:i/>
        </w:rPr>
        <w:t>Партнерство за отворену управу</w:t>
      </w:r>
      <w:r w:rsidRPr="00BB7217">
        <w:t xml:space="preserve"> у Републици Србији за 2016. и 2017.</w:t>
      </w:r>
      <w:r w:rsidRPr="00BB7217">
        <w:rPr>
          <w:rStyle w:val="FootnoteReference"/>
        </w:rPr>
        <w:footnoteReference w:id="6"/>
      </w:r>
      <w:r w:rsidRPr="00BB7217">
        <w:t xml:space="preserve"> прихватамо иницијативу да се објављивање података од јавног значаја у форми отворених података. Укратко, отворени подаци су јавно доступни у рачунарски читљивом облику (табеле). </w:t>
      </w:r>
    </w:p>
    <w:p w14:paraId="364F30CB" w14:textId="57509CD1" w:rsidR="000420BF" w:rsidRPr="00BB7217" w:rsidRDefault="000420BF" w:rsidP="008D6233">
      <w:pPr>
        <w:pStyle w:val="Heading2"/>
      </w:pPr>
      <w:bookmarkStart w:id="7" w:name="_Toc468269534"/>
      <w:bookmarkStart w:id="8" w:name="_Toc468553614"/>
      <w:r w:rsidRPr="00BB7217">
        <w:t>Размена података са органима управе</w:t>
      </w:r>
      <w:bookmarkEnd w:id="7"/>
      <w:bookmarkEnd w:id="8"/>
    </w:p>
    <w:p w14:paraId="76ABA666" w14:textId="2A05F219" w:rsidR="00D25550" w:rsidRPr="00BB7217" w:rsidRDefault="008D6233" w:rsidP="003A46D9">
      <w:pPr>
        <w:pStyle w:val="Tekst"/>
      </w:pPr>
      <w:r w:rsidRPr="00BB7217">
        <w:rPr>
          <w:noProof/>
          <w:lang w:val="en-US"/>
        </w:rPr>
        <w:drawing>
          <wp:anchor distT="0" distB="0" distL="114300" distR="114300" simplePos="0" relativeHeight="251660288" behindDoc="0" locked="0" layoutInCell="1" allowOverlap="1" wp14:anchorId="738BACBE" wp14:editId="7DBB2221">
            <wp:simplePos x="0" y="0"/>
            <wp:positionH relativeFrom="column">
              <wp:posOffset>2834005</wp:posOffset>
            </wp:positionH>
            <wp:positionV relativeFrom="paragraph">
              <wp:posOffset>601980</wp:posOffset>
            </wp:positionV>
            <wp:extent cx="2894965" cy="2047875"/>
            <wp:effectExtent l="0" t="0" r="635" b="9525"/>
            <wp:wrapSquare wrapText="bothSides"/>
            <wp:docPr id="1" name="Picture 1" descr="D:\Users\Ax\Dropbox\Projekti\Inspekcije MDULS\Documents\Slike\Hospital-Dat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x\Dropbox\Projekti\Inspekcije MDULS\Documents\Slike\Hospital-Data-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4965" cy="2047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0545" w:rsidRPr="00BB7217">
        <w:t xml:space="preserve">Инспекције често за предмет надзора имају исте или повезане субјекте те је потребно координирати рад инспекцијских служби. </w:t>
      </w:r>
      <w:r w:rsidR="00A27326" w:rsidRPr="00BB7217">
        <w:t xml:space="preserve">На основу </w:t>
      </w:r>
      <w:r w:rsidR="00CD3183" w:rsidRPr="00BB7217">
        <w:t xml:space="preserve">USAID </w:t>
      </w:r>
      <w:proofErr w:type="spellStart"/>
      <w:r w:rsidR="00CD3183" w:rsidRPr="00BB7217">
        <w:t>Business</w:t>
      </w:r>
      <w:proofErr w:type="spellEnd"/>
      <w:r w:rsidR="00CD3183" w:rsidRPr="00BB7217">
        <w:t xml:space="preserve"> </w:t>
      </w:r>
      <w:proofErr w:type="spellStart"/>
      <w:r w:rsidR="00CD3183" w:rsidRPr="00BB7217">
        <w:t>Survey</w:t>
      </w:r>
      <w:proofErr w:type="spellEnd"/>
      <w:r w:rsidR="00CD3183" w:rsidRPr="00BB7217">
        <w:t xml:space="preserve"> </w:t>
      </w:r>
      <w:proofErr w:type="spellStart"/>
      <w:r w:rsidR="00CD3183" w:rsidRPr="00BB7217">
        <w:t>Serbia</w:t>
      </w:r>
      <w:proofErr w:type="spellEnd"/>
      <w:r w:rsidR="00CD3183" w:rsidRPr="00BB7217">
        <w:t xml:space="preserve"> 2011</w:t>
      </w:r>
      <w:r w:rsidR="00CD3183" w:rsidRPr="00BB7217">
        <w:rPr>
          <w:rStyle w:val="FootnoteReference"/>
        </w:rPr>
        <w:footnoteReference w:id="7"/>
      </w:r>
      <w:r w:rsidR="00CD3183" w:rsidRPr="00BB7217">
        <w:t xml:space="preserve"> свега 31% анкетираних </w:t>
      </w:r>
      <w:r w:rsidR="00A27326" w:rsidRPr="00BB7217">
        <w:t xml:space="preserve">предузећа </w:t>
      </w:r>
      <w:r w:rsidR="00CD3183" w:rsidRPr="00BB7217">
        <w:t>се</w:t>
      </w:r>
      <w:r w:rsidR="00A27326" w:rsidRPr="00BB7217">
        <w:t xml:space="preserve"> 2011 године</w:t>
      </w:r>
      <w:r w:rsidR="00CD3183" w:rsidRPr="00BB7217">
        <w:t xml:space="preserve"> позитивно изразио по питању координације инспекцијских служби. </w:t>
      </w:r>
      <w:r w:rsidR="00DB0545" w:rsidRPr="00BB7217">
        <w:t>Најважнији сегмент коорд</w:t>
      </w:r>
      <w:r w:rsidR="007F03FD" w:rsidRPr="00BB7217">
        <w:t>инације је размена информација</w:t>
      </w:r>
      <w:r w:rsidR="00DB0545" w:rsidRPr="00BB7217">
        <w:t xml:space="preserve"> односн</w:t>
      </w:r>
      <w:r w:rsidR="00CD3183" w:rsidRPr="00BB7217">
        <w:t>о размена релевантних података.</w:t>
      </w:r>
      <w:r w:rsidRPr="00BB7217">
        <w:t xml:space="preserve"> Размену треба остварити међусобно између инспекцијских служби али и између инспекцијских служби и других органа државне управе.</w:t>
      </w:r>
    </w:p>
    <w:p w14:paraId="6784AE92" w14:textId="4964EF8C" w:rsidR="00567A8B" w:rsidRPr="00BB7217" w:rsidRDefault="00DB0545" w:rsidP="00721B48">
      <w:pPr>
        <w:pStyle w:val="Tekst"/>
      </w:pPr>
      <w:r w:rsidRPr="00BB7217">
        <w:rPr>
          <w:i/>
        </w:rPr>
        <w:t>Закон о инспекцијском надзору</w:t>
      </w:r>
      <w:r w:rsidRPr="00BB7217">
        <w:t xml:space="preserve"> предвиђа обавезу размене података, </w:t>
      </w:r>
      <w:r w:rsidR="000420BF" w:rsidRPr="00BB7217">
        <w:t>члан</w:t>
      </w:r>
      <w:r w:rsidRPr="00BB7217">
        <w:t>ом</w:t>
      </w:r>
      <w:r w:rsidR="000420BF" w:rsidRPr="00BB7217">
        <w:t xml:space="preserve"> 8</w:t>
      </w:r>
      <w:r w:rsidRPr="00BB7217">
        <w:t xml:space="preserve"> и у</w:t>
      </w:r>
      <w:r w:rsidR="00567A8B" w:rsidRPr="00BB7217">
        <w:t>скл</w:t>
      </w:r>
      <w:r w:rsidR="00721B48" w:rsidRPr="00BB7217">
        <w:t>ађивање инспекцијског надзора (</w:t>
      </w:r>
      <w:r w:rsidR="00567A8B" w:rsidRPr="00BB7217">
        <w:t>члан 11</w:t>
      </w:r>
      <w:r w:rsidR="00721B48" w:rsidRPr="00BB7217">
        <w:t xml:space="preserve"> </w:t>
      </w:r>
      <w:r w:rsidR="00BD1085">
        <w:t>ЗИН</w:t>
      </w:r>
      <w:r w:rsidR="00721B48" w:rsidRPr="00BB7217">
        <w:t>)</w:t>
      </w:r>
    </w:p>
    <w:p w14:paraId="2ACE50B3" w14:textId="47FAA950" w:rsidR="00740237" w:rsidRPr="00BB7217" w:rsidRDefault="00B36564" w:rsidP="00740237">
      <w:pPr>
        <w:pStyle w:val="Tekst"/>
      </w:pPr>
      <w:r w:rsidRPr="00BB7217">
        <w:rPr>
          <w:i/>
        </w:rPr>
        <w:t>Координациона комисија</w:t>
      </w:r>
      <w:r w:rsidR="00D25550" w:rsidRPr="00BB7217">
        <w:t xml:space="preserve"> иницира мере и даје смернице и упутства за унапређење координације инспекција и делотворности инспекцијског надзора за </w:t>
      </w:r>
      <w:r w:rsidR="00D25550" w:rsidRPr="00BB7217">
        <w:rPr>
          <w:b/>
        </w:rPr>
        <w:t>размену информација</w:t>
      </w:r>
      <w:r w:rsidR="00D25550" w:rsidRPr="00BB7217">
        <w:t xml:space="preserve"> у вршењу инспекцијског надзора.</w:t>
      </w:r>
      <w:r w:rsidR="00D25550" w:rsidRPr="00BB7217">
        <w:rPr>
          <w:rStyle w:val="FootnoteReference"/>
        </w:rPr>
        <w:footnoteReference w:id="8"/>
      </w:r>
    </w:p>
    <w:p w14:paraId="734DE2F7" w14:textId="38840D01" w:rsidR="000420BF" w:rsidRPr="00BB7217" w:rsidRDefault="000420BF" w:rsidP="008D6233">
      <w:pPr>
        <w:pStyle w:val="Heading2"/>
      </w:pPr>
      <w:bookmarkStart w:id="9" w:name="_Toc468269535"/>
      <w:bookmarkStart w:id="10" w:name="_Toc468553615"/>
      <w:r w:rsidRPr="00BB7217">
        <w:lastRenderedPageBreak/>
        <w:t xml:space="preserve">Комуникација са </w:t>
      </w:r>
      <w:r w:rsidR="009C6983" w:rsidRPr="00BB7217">
        <w:t>јавности</w:t>
      </w:r>
      <w:bookmarkEnd w:id="9"/>
      <w:bookmarkEnd w:id="10"/>
    </w:p>
    <w:p w14:paraId="3BF5B9EF" w14:textId="1BEBDB9C" w:rsidR="002C75EE" w:rsidRDefault="002C75EE" w:rsidP="002C75EE">
      <w:pPr>
        <w:pStyle w:val="Tekst"/>
      </w:pPr>
      <w:r w:rsidRPr="00BB7217">
        <w:t xml:space="preserve">За остваривање јавности рада комуникација са јавношћу је круцијална и треба је омогућити тако да буде актуелна на дневном нивоу. За рад инспекцијских служби је заинтересована шира јавност, у случају потребе за обавештавањем о </w:t>
      </w:r>
      <w:r w:rsidR="00FE1889" w:rsidRPr="00BB7217">
        <w:t>постојању озбиљног ризика</w:t>
      </w:r>
      <w:r w:rsidRPr="00BB7217">
        <w:t xml:space="preserve">, невладине организације и медији заинтересовани за транспарентност и привредни субјекти који су сами предмет надзора инспекцијских служби. </w:t>
      </w:r>
    </w:p>
    <w:p w14:paraId="2196C6F1" w14:textId="654C2E2D" w:rsidR="00D3486C" w:rsidRDefault="007F72A2" w:rsidP="00D3486C">
      <w:pPr>
        <w:pStyle w:val="Tekst"/>
      </w:pPr>
      <w:r w:rsidRPr="007F72A2">
        <w:t>Превентивно деловање инспекције остварује се</w:t>
      </w:r>
      <w:r>
        <w:t xml:space="preserve"> и о</w:t>
      </w:r>
      <w:r w:rsidR="00D3486C" w:rsidRPr="00BB7217">
        <w:t>бавештавањем јавности о сазнањима инспекције о постојању озбиљног ризика по живот или здравље људи, имовину веће вредности, животну средину или биљни или животињски свет, и предузетим мерама и радњама како би се тај ризик отклонио или умањио (</w:t>
      </w:r>
      <w:r w:rsidR="00C9798C">
        <w:t xml:space="preserve">ЗИН, </w:t>
      </w:r>
      <w:r w:rsidR="00D3486C" w:rsidRPr="00BB7217">
        <w:t>члан 13).</w:t>
      </w:r>
    </w:p>
    <w:p w14:paraId="72BF14EA" w14:textId="2B46C0F7" w:rsidR="009309D1" w:rsidRPr="009309D1" w:rsidRDefault="009309D1" w:rsidP="009309D1">
      <w:pPr>
        <w:pStyle w:val="Tekst"/>
      </w:pPr>
      <w:r w:rsidRPr="009309D1">
        <w:t>Инспекција прикупља податке и прати и анализира стање у области инспекцијског на</w:t>
      </w:r>
      <w:r>
        <w:t>дзора која је у њеном делокругу</w:t>
      </w:r>
      <w:r>
        <w:rPr>
          <w:lang w:val="en-US"/>
        </w:rPr>
        <w:t xml:space="preserve"> и </w:t>
      </w:r>
      <w:r w:rsidRPr="009309D1">
        <w:t>вођењем анк</w:t>
      </w:r>
      <w:r>
        <w:t>ета и истраживања јавног мњења</w:t>
      </w:r>
      <w:r w:rsidR="00C9798C">
        <w:t xml:space="preserve"> (ЗИН, члан 8)</w:t>
      </w:r>
      <w:r>
        <w:t xml:space="preserve">. </w:t>
      </w:r>
      <w:r w:rsidR="00E27CDE">
        <w:t xml:space="preserve">Интернет презентација је идеално место за постављање ових анкета, посебно имајући у виду могућност анонимног одговарања. </w:t>
      </w:r>
    </w:p>
    <w:p w14:paraId="31B40F9A" w14:textId="1A019643" w:rsidR="007E01D6" w:rsidRPr="00BB7217" w:rsidRDefault="007E01D6" w:rsidP="00740237">
      <w:pPr>
        <w:pStyle w:val="Tekst"/>
      </w:pPr>
      <w:r w:rsidRPr="00BB7217">
        <w:rPr>
          <w:i/>
        </w:rPr>
        <w:t>Закон о општем управном поступку</w:t>
      </w:r>
      <w:r w:rsidRPr="00BB7217">
        <w:t xml:space="preserve"> је даље, обезбедио могућност обавештавања странака у поступку електронским путем, као и могућност доношења управног акта у електронском облику и његово достављање странци електронским путем (при чему и потврда о достави може бити у електронском облику). Ова одредба отвара</w:t>
      </w:r>
      <w:r w:rsidR="00A93F89" w:rsidRPr="00BB7217">
        <w:t xml:space="preserve"> </w:t>
      </w:r>
      <w:r w:rsidRPr="00BB7217">
        <w:t xml:space="preserve">могућност слања </w:t>
      </w:r>
      <w:r w:rsidR="003D258F" w:rsidRPr="00BB7217">
        <w:t xml:space="preserve">обавештења о предстојећем инспекцијском </w:t>
      </w:r>
      <w:r w:rsidRPr="00BB7217">
        <w:t>над</w:t>
      </w:r>
      <w:r w:rsidR="003D258F" w:rsidRPr="00BB7217">
        <w:t>зору</w:t>
      </w:r>
      <w:r w:rsidRPr="00BB7217">
        <w:t xml:space="preserve"> у електронском облику као и других видова званичне комуникације</w:t>
      </w:r>
      <w:r w:rsidR="00A93F89" w:rsidRPr="00BB7217">
        <w:t xml:space="preserve"> електронским путем</w:t>
      </w:r>
      <w:r w:rsidRPr="00BB7217">
        <w:t>.</w:t>
      </w:r>
    </w:p>
    <w:p w14:paraId="7CD30B5C" w14:textId="1D95560D" w:rsidR="002C75EE" w:rsidRPr="00BB7217" w:rsidRDefault="00F67CEC" w:rsidP="002C75EE">
      <w:pPr>
        <w:pStyle w:val="Heading3"/>
      </w:pPr>
      <w:bookmarkStart w:id="11" w:name="_Toc468269536"/>
      <w:bookmarkStart w:id="12" w:name="_Toc468553616"/>
      <w:r w:rsidRPr="00BB7217">
        <w:t>Прописи</w:t>
      </w:r>
      <w:bookmarkEnd w:id="11"/>
      <w:bookmarkEnd w:id="12"/>
    </w:p>
    <w:p w14:paraId="203D410A" w14:textId="1DEC3DBB" w:rsidR="00FE1889" w:rsidRPr="00BB7217" w:rsidRDefault="00FE1889" w:rsidP="002C75EE">
      <w:pPr>
        <w:pStyle w:val="Tekst"/>
      </w:pPr>
      <w:r w:rsidRPr="00BB7217">
        <w:t>Анализа стања инспекција спроведена 2014 непосредно пре доношење Закона о инспекцијском надзору указује да инспекције у свом раду поред закона и подзаконских аката, примењују велики број упутстава, инструкција, мишљења, разне интерне процедуре и тумачења. Тренутно реч је о преко 1.000 различитих прописа, који се често мењају, што с привреди отежава њихово поштовање, а инспекторима надгледање њиховог спровођења. Ови акти су доступни само у односу на поједине инспекције, као што је тржишна</w:t>
      </w:r>
      <w:r w:rsidRPr="00BB7217">
        <w:rPr>
          <w:rStyle w:val="FootnoteReference"/>
        </w:rPr>
        <w:footnoteReference w:id="9"/>
      </w:r>
      <w:r w:rsidRPr="00BB7217">
        <w:t>.</w:t>
      </w:r>
      <w:r w:rsidR="000B3517" w:rsidRPr="00BB7217">
        <w:t xml:space="preserve"> Ове недостатке значајно амортизује нови </w:t>
      </w:r>
      <w:r w:rsidR="00BD1085">
        <w:t>ЗИН</w:t>
      </w:r>
      <w:r w:rsidR="000B3517" w:rsidRPr="00BB7217">
        <w:t xml:space="preserve"> који прописује:</w:t>
      </w:r>
    </w:p>
    <w:p w14:paraId="55BB9FA3" w14:textId="77777777" w:rsidR="00740237" w:rsidRPr="00BB7217" w:rsidRDefault="00FE1889" w:rsidP="00CE17CB">
      <w:pPr>
        <w:pStyle w:val="ListParagraph"/>
      </w:pPr>
      <w:r w:rsidRPr="00BB7217">
        <w:t>О</w:t>
      </w:r>
      <w:r w:rsidR="002C75EE" w:rsidRPr="00BB7217">
        <w:t xml:space="preserve">бјављивање </w:t>
      </w:r>
      <w:r w:rsidR="002C75EE" w:rsidRPr="00BB7217">
        <w:rPr>
          <w:b/>
        </w:rPr>
        <w:t>важећих прописа</w:t>
      </w:r>
      <w:r w:rsidR="002C75EE" w:rsidRPr="00BB7217">
        <w:t xml:space="preserve">; обавештавањем јавности о </w:t>
      </w:r>
      <w:r w:rsidR="002C75EE" w:rsidRPr="00BB7217">
        <w:rPr>
          <w:b/>
        </w:rPr>
        <w:t>променама прописа</w:t>
      </w:r>
      <w:r w:rsidR="002C75EE" w:rsidRPr="00BB7217">
        <w:t xml:space="preserve"> и правима и обавезама за надзиране субјекте који из њих произлазе</w:t>
      </w:r>
      <w:r w:rsidR="00602B35" w:rsidRPr="00BB7217">
        <w:t>.</w:t>
      </w:r>
      <w:r w:rsidR="00833377" w:rsidRPr="00BB7217">
        <w:t xml:space="preserve"> </w:t>
      </w:r>
      <w:r w:rsidR="00602B35" w:rsidRPr="00BB7217">
        <w:t>(члан 13)</w:t>
      </w:r>
    </w:p>
    <w:p w14:paraId="7D1CF670" w14:textId="19E80BB4" w:rsidR="000B3517" w:rsidRPr="00BB7217" w:rsidRDefault="009F4CB3" w:rsidP="00CE17CB">
      <w:pPr>
        <w:pStyle w:val="ListParagraph"/>
      </w:pPr>
      <w:r w:rsidRPr="00BB7217">
        <w:rPr>
          <w:b/>
        </w:rPr>
        <w:t>Акт о примени прописа</w:t>
      </w:r>
      <w:r w:rsidRPr="00BB7217">
        <w:t xml:space="preserve"> издаје и на интернет страници објављује инспекција, односно надлежни орган или организација или организациона јединица, по сопственој иницијативи или на за</w:t>
      </w:r>
      <w:r w:rsidR="00602B35" w:rsidRPr="00BB7217">
        <w:t>хтев физичког или правног лица. (</w:t>
      </w:r>
      <w:r w:rsidRPr="00BB7217">
        <w:t>члан 31</w:t>
      </w:r>
      <w:r w:rsidR="00602B35" w:rsidRPr="00BB7217">
        <w:t>)</w:t>
      </w:r>
    </w:p>
    <w:p w14:paraId="4D92559A" w14:textId="043DBAF7" w:rsidR="002C75EE" w:rsidRPr="00BB7217" w:rsidRDefault="002C75EE" w:rsidP="00740237">
      <w:pPr>
        <w:pStyle w:val="ListParagraph"/>
      </w:pPr>
      <w:r w:rsidRPr="00BB7217">
        <w:t xml:space="preserve">Координациона комисија да објављује на својој интернет страници </w:t>
      </w:r>
      <w:r w:rsidRPr="00BB7217">
        <w:rPr>
          <w:b/>
        </w:rPr>
        <w:t>прописе</w:t>
      </w:r>
      <w:r w:rsidRPr="00BB7217">
        <w:t>, акте и документе који се односе на инспекцијски надзор</w:t>
      </w:r>
      <w:r w:rsidR="000B3517" w:rsidRPr="00BB7217">
        <w:t>.</w:t>
      </w:r>
      <w:r w:rsidR="00602B35" w:rsidRPr="00BB7217">
        <w:t xml:space="preserve"> (</w:t>
      </w:r>
      <w:r w:rsidRPr="00BB7217">
        <w:t>члан 12</w:t>
      </w:r>
      <w:r w:rsidR="00602B35" w:rsidRPr="00BB7217">
        <w:t>)</w:t>
      </w:r>
    </w:p>
    <w:p w14:paraId="75A5D365" w14:textId="1BCF5B15" w:rsidR="002C75EE" w:rsidRPr="00BB7217" w:rsidRDefault="002C75EE" w:rsidP="002C75EE">
      <w:pPr>
        <w:pStyle w:val="Heading3"/>
      </w:pPr>
      <w:bookmarkStart w:id="13" w:name="_Toc468269537"/>
      <w:bookmarkStart w:id="14" w:name="_Toc468553617"/>
      <w:r w:rsidRPr="00BB7217">
        <w:t>Планови рада</w:t>
      </w:r>
      <w:bookmarkEnd w:id="13"/>
      <w:bookmarkEnd w:id="14"/>
    </w:p>
    <w:p w14:paraId="0945C517" w14:textId="4B080F4E" w:rsidR="009F4CB3" w:rsidRPr="00BB7217" w:rsidRDefault="00172581" w:rsidP="009F4CB3">
      <w:pPr>
        <w:pStyle w:val="Tekst"/>
      </w:pPr>
      <w:r w:rsidRPr="00BB7217">
        <w:t>Превентивно деловање инспекције остварује се нарочито, између осталог, о</w:t>
      </w:r>
      <w:r w:rsidR="00602B35" w:rsidRPr="00BB7217">
        <w:t>бјављивање</w:t>
      </w:r>
      <w:r w:rsidRPr="00BB7217">
        <w:t>м</w:t>
      </w:r>
      <w:r w:rsidR="00602B35" w:rsidRPr="00BB7217">
        <w:t xml:space="preserve"> </w:t>
      </w:r>
      <w:r w:rsidR="00602B35" w:rsidRPr="00BB7217">
        <w:rPr>
          <w:b/>
        </w:rPr>
        <w:t>планова</w:t>
      </w:r>
      <w:r w:rsidR="00602B35" w:rsidRPr="00BB7217">
        <w:t xml:space="preserve"> инспекцијског надзора (члан 13</w:t>
      </w:r>
      <w:r w:rsidRPr="00BB7217">
        <w:t xml:space="preserve"> </w:t>
      </w:r>
      <w:r w:rsidR="00BD1085">
        <w:t>ЗИН</w:t>
      </w:r>
      <w:r w:rsidR="00602B35" w:rsidRPr="00BB7217">
        <w:t>).</w:t>
      </w:r>
      <w:r w:rsidRPr="00BB7217">
        <w:t xml:space="preserve"> Надлежна инспекција у обављању послова из свог делокруга усклађује планове инспекцијског надзора и свог рада и размењује податке са другим инспекцијама (члан 5). </w:t>
      </w:r>
      <w:r w:rsidR="009F4CB3" w:rsidRPr="00BB7217">
        <w:rPr>
          <w:b/>
        </w:rPr>
        <w:t>План инспекцијског надзора</w:t>
      </w:r>
      <w:r w:rsidR="00797C47" w:rsidRPr="00BB7217">
        <w:t xml:space="preserve"> </w:t>
      </w:r>
      <w:r w:rsidR="00A93F89" w:rsidRPr="00BB7217">
        <w:t xml:space="preserve">се објављује </w:t>
      </w:r>
      <w:r w:rsidR="00797C47" w:rsidRPr="00BB7217">
        <w:t>на интернет страни (</w:t>
      </w:r>
      <w:r w:rsidR="009F4CB3" w:rsidRPr="00BB7217">
        <w:t>члан 10</w:t>
      </w:r>
      <w:r w:rsidR="00797C47" w:rsidRPr="00BB7217">
        <w:t>).</w:t>
      </w:r>
    </w:p>
    <w:p w14:paraId="0AE69600" w14:textId="4F4A0094" w:rsidR="00A93F89" w:rsidRPr="00BB7217" w:rsidRDefault="00A93F89" w:rsidP="007D7590">
      <w:pPr>
        <w:pStyle w:val="Tekst"/>
      </w:pPr>
      <w:r w:rsidRPr="00BB7217">
        <w:lastRenderedPageBreak/>
        <w:t>Инспекција је дужна да сачини стратешки (вишегодишњи) и годишњи план инспекцијског надзора. Годишњи план инспекцијског надзора спроводи се кроз оперативне (полугодишње, тромесечне и месечне)</w:t>
      </w:r>
      <w:r w:rsidR="007D7590" w:rsidRPr="00BB7217">
        <w:t>. ). План инспекцијског надзора се објављује на интернет страни (члан 10).</w:t>
      </w:r>
    </w:p>
    <w:p w14:paraId="15821666" w14:textId="519F87FF" w:rsidR="00534116" w:rsidRPr="00BB7217" w:rsidRDefault="007D7590" w:rsidP="00534116">
      <w:pPr>
        <w:pStyle w:val="Tekst"/>
      </w:pPr>
      <w:r w:rsidRPr="00BB7217">
        <w:t>План, поред обавезних елемената садржи и преглед надзираних субјеката код којих ће се вршити инспекцијски надзор, односно делатности или активности које ће се надзирати. Добра пракса јавности рада инспекција препознаје објављивање ових података у облику табеларних изве</w:t>
      </w:r>
      <w:r w:rsidR="004C6E4C" w:rsidRPr="00BB7217">
        <w:t>штаја. Обавеза из Партнерства за отворену управу</w:t>
      </w:r>
      <w:r w:rsidR="004C6E4C" w:rsidRPr="00BB7217">
        <w:rPr>
          <w:rStyle w:val="FootnoteReference"/>
        </w:rPr>
        <w:footnoteReference w:id="10"/>
      </w:r>
      <w:r w:rsidR="004C6E4C" w:rsidRPr="00BB7217">
        <w:t xml:space="preserve"> да се подаци објављују у форми </w:t>
      </w:r>
      <w:r w:rsidR="004C6E4C" w:rsidRPr="00BB7217">
        <w:rPr>
          <w:i/>
        </w:rPr>
        <w:t>Отворених података</w:t>
      </w:r>
      <w:r w:rsidR="004C6E4C" w:rsidRPr="00BB7217">
        <w:t xml:space="preserve"> се лако </w:t>
      </w:r>
      <w:r w:rsidR="00534116" w:rsidRPr="00BB7217">
        <w:t xml:space="preserve">имплементира за ову намену. </w:t>
      </w:r>
    </w:p>
    <w:p w14:paraId="7E8C5869" w14:textId="497AA159" w:rsidR="009F4CB3" w:rsidRPr="00BB7217" w:rsidRDefault="009F4CB3" w:rsidP="009F4CB3">
      <w:pPr>
        <w:pStyle w:val="Heading3"/>
      </w:pPr>
      <w:bookmarkStart w:id="15" w:name="_Toc468269538"/>
      <w:bookmarkStart w:id="16" w:name="_Toc468553618"/>
      <w:r w:rsidRPr="00BB7217">
        <w:t>Контролне листе</w:t>
      </w:r>
      <w:bookmarkEnd w:id="15"/>
      <w:bookmarkEnd w:id="16"/>
    </w:p>
    <w:p w14:paraId="1419EAC7" w14:textId="7AD8C6E0" w:rsidR="007D7590" w:rsidRDefault="009F4CB3" w:rsidP="007D7590">
      <w:pPr>
        <w:pStyle w:val="Tekst"/>
      </w:pPr>
      <w:r w:rsidRPr="00BB7217">
        <w:t xml:space="preserve">Инспекција је дужна да сачини </w:t>
      </w:r>
      <w:r w:rsidRPr="00BB7217">
        <w:rPr>
          <w:b/>
        </w:rPr>
        <w:t>контролне листе</w:t>
      </w:r>
      <w:r w:rsidRPr="00BB7217">
        <w:t xml:space="preserve"> из своје области инспекцијског надзора, објави их на својој интернет страници и примењује у поступку</w:t>
      </w:r>
      <w:r w:rsidR="00797C47" w:rsidRPr="00BB7217">
        <w:t xml:space="preserve"> редовног инспекцијског надзора (</w:t>
      </w:r>
      <w:r w:rsidR="00BD1085">
        <w:t xml:space="preserve">ЗИН </w:t>
      </w:r>
      <w:r w:rsidRPr="00BB7217">
        <w:t>члан</w:t>
      </w:r>
      <w:r w:rsidR="001E7507" w:rsidRPr="00BB7217">
        <w:t xml:space="preserve"> 13,</w:t>
      </w:r>
      <w:r w:rsidRPr="00BB7217">
        <w:t xml:space="preserve"> 14</w:t>
      </w:r>
      <w:r w:rsidR="001E7507" w:rsidRPr="00BB7217">
        <w:t xml:space="preserve"> и 63</w:t>
      </w:r>
      <w:r w:rsidR="00797C47" w:rsidRPr="00BB7217">
        <w:t>).</w:t>
      </w:r>
      <w:r w:rsidR="001E7507" w:rsidRPr="00BB7217">
        <w:t xml:space="preserve"> Контролне листе треба да буду у одвојеној секцији и због одредби које предвиђа члан 17: </w:t>
      </w:r>
      <w:r w:rsidR="007D7590" w:rsidRPr="00BB7217">
        <w:t xml:space="preserve">Обавештење о предстојећем инспекцијском надзору садржи и податке о интернет страници на којој је доступна </w:t>
      </w:r>
      <w:r w:rsidR="007D7590" w:rsidRPr="00BB7217">
        <w:rPr>
          <w:b/>
        </w:rPr>
        <w:t>контролна</w:t>
      </w:r>
      <w:r w:rsidR="001E7507" w:rsidRPr="00BB7217">
        <w:t xml:space="preserve"> листа.</w:t>
      </w:r>
    </w:p>
    <w:p w14:paraId="109BB7EE" w14:textId="40B2BCEC" w:rsidR="007B6BB0" w:rsidRPr="00BB7217" w:rsidRDefault="007B6BB0" w:rsidP="007D7590">
      <w:pPr>
        <w:pStyle w:val="Tekst"/>
      </w:pPr>
      <w:r>
        <w:t>Како је чланом 14 ЗИН-а предвиђено да н</w:t>
      </w:r>
      <w:r w:rsidRPr="007B6BB0">
        <w:t xml:space="preserve">адзирани субјекат може доставити инспекцији извештај о </w:t>
      </w:r>
      <w:proofErr w:type="spellStart"/>
      <w:r w:rsidRPr="007B6BB0">
        <w:t>самопровери</w:t>
      </w:r>
      <w:proofErr w:type="spellEnd"/>
      <w:r w:rsidRPr="007B6BB0">
        <w:t xml:space="preserve"> испуњености захтева из контролне листе и </w:t>
      </w:r>
      <w:proofErr w:type="spellStart"/>
      <w:r w:rsidRPr="007B6BB0">
        <w:t>самопроцени</w:t>
      </w:r>
      <w:proofErr w:type="spellEnd"/>
      <w:r w:rsidRPr="007B6BB0">
        <w:t xml:space="preserve"> ризика, које је спровео сагласно садржини контролне листе и правилима о процени ризика</w:t>
      </w:r>
      <w:r>
        <w:t>, потребно му је омогућити не само да преузме контролну листу, већ и да је попуни у електронском формату а да се рачунање броја бодова и степена ризика вржи аутоматски. Тако попуњену листу субјекат може предати у електронском облику и/или одштампати.</w:t>
      </w:r>
    </w:p>
    <w:p w14:paraId="7CE5E7E0" w14:textId="3DE8B419" w:rsidR="009F4CB3" w:rsidRPr="00BB7217" w:rsidRDefault="00F24C65" w:rsidP="009F4CB3">
      <w:pPr>
        <w:pStyle w:val="Heading3"/>
      </w:pPr>
      <w:bookmarkStart w:id="17" w:name="_Toc468269539"/>
      <w:bookmarkStart w:id="18" w:name="_Toc468553619"/>
      <w:r>
        <w:t>И</w:t>
      </w:r>
      <w:r w:rsidR="009F4CB3" w:rsidRPr="00BB7217">
        <w:t>звештаји</w:t>
      </w:r>
      <w:r>
        <w:t xml:space="preserve"> и обављени надзор</w:t>
      </w:r>
      <w:bookmarkEnd w:id="17"/>
      <w:bookmarkEnd w:id="18"/>
    </w:p>
    <w:p w14:paraId="5A723C98" w14:textId="01227310" w:rsidR="009F4CB3" w:rsidRDefault="009F4CB3" w:rsidP="009F4CB3">
      <w:pPr>
        <w:pStyle w:val="Tekst"/>
      </w:pPr>
      <w:r w:rsidRPr="00BB7217">
        <w:t xml:space="preserve">Инспекција објављује најкасније до 31. јануара наредне године за претходну годину </w:t>
      </w:r>
      <w:r w:rsidRPr="00BB7217">
        <w:rPr>
          <w:b/>
        </w:rPr>
        <w:t>годишњи извештај о раду</w:t>
      </w:r>
      <w:r w:rsidRPr="00BB7217">
        <w:t xml:space="preserve"> на својој интернет страници. На основу анализе годишњих извештаја о раду Координациона комисија иницира мере за унапређење инспекцијског надзора и објављује </w:t>
      </w:r>
      <w:r w:rsidR="00797C47" w:rsidRPr="00BB7217">
        <w:t>их на интернет страници (</w:t>
      </w:r>
      <w:r w:rsidR="008104D4">
        <w:t xml:space="preserve">ЗИН, </w:t>
      </w:r>
      <w:r w:rsidR="00797C47" w:rsidRPr="00BB7217">
        <w:t>ч</w:t>
      </w:r>
      <w:r w:rsidRPr="00BB7217">
        <w:t>лан 44</w:t>
      </w:r>
      <w:r w:rsidR="00797C47" w:rsidRPr="00BB7217">
        <w:t>).</w:t>
      </w:r>
    </w:p>
    <w:p w14:paraId="42923744" w14:textId="21A4E1A4" w:rsidR="00F24C65" w:rsidRDefault="00F24C65" w:rsidP="00F24C65">
      <w:pPr>
        <w:pStyle w:val="Tekst"/>
      </w:pPr>
      <w:r w:rsidRPr="00F24C65">
        <w:t xml:space="preserve">Инспекција на својој интернет страници објављује </w:t>
      </w:r>
      <w:r w:rsidRPr="00F24C65">
        <w:rPr>
          <w:i/>
        </w:rPr>
        <w:t>списак надзираних субјеката</w:t>
      </w:r>
      <w:r w:rsidRPr="00F24C65">
        <w:t xml:space="preserve"> за које, на основу података добијених помоћу контролних листи, утврди да су остварили највећи степен усклађености пословања и поступања са законом и другим прописом, као и списак надзираних субјеката за које утврди да нису уопште остварили усклађеност пословања и поступања са законом и другим прописом. </w:t>
      </w:r>
      <w:r w:rsidRPr="00BB7217">
        <w:t>(</w:t>
      </w:r>
      <w:r w:rsidR="008104D4">
        <w:t xml:space="preserve">ЗИН, </w:t>
      </w:r>
      <w:r w:rsidRPr="00BB7217">
        <w:t>члан 8)</w:t>
      </w:r>
    </w:p>
    <w:p w14:paraId="5C97F1E6" w14:textId="30691BEB" w:rsidR="008104D4" w:rsidRDefault="008104D4" w:rsidP="008104D4">
      <w:pPr>
        <w:pStyle w:val="Heading3"/>
      </w:pPr>
      <w:bookmarkStart w:id="19" w:name="_Toc468269540"/>
      <w:bookmarkStart w:id="20" w:name="_Toc468553620"/>
      <w:r>
        <w:t>Захтеви</w:t>
      </w:r>
      <w:bookmarkEnd w:id="19"/>
      <w:bookmarkEnd w:id="20"/>
    </w:p>
    <w:p w14:paraId="457B3BCE" w14:textId="530947E9" w:rsidR="008104D4" w:rsidRDefault="008104D4" w:rsidP="008104D4">
      <w:pPr>
        <w:pStyle w:val="Tekst"/>
      </w:pPr>
      <w:r w:rsidRPr="00BB7217">
        <w:rPr>
          <w:i/>
        </w:rPr>
        <w:t>Закон о општем управном поступку</w:t>
      </w:r>
      <w:r>
        <w:rPr>
          <w:rStyle w:val="FootnoteReference"/>
          <w:i/>
        </w:rPr>
        <w:footnoteReference w:id="11"/>
      </w:r>
      <w:r w:rsidRPr="00BB7217">
        <w:t xml:space="preserve"> </w:t>
      </w:r>
      <w:r>
        <w:t xml:space="preserve">- ЗУП - </w:t>
      </w:r>
      <w:r w:rsidRPr="00BB7217">
        <w:t xml:space="preserve">дефинише електронско општење између страна у поступку, па је предвидео да орган на својој веб-страници објављује обавештења о могућности електронског општења између органа и странке, о томе да се органу подносе електронска документа и да орган упућује странци електронска документа, као и о начину на који то чини. </w:t>
      </w:r>
    </w:p>
    <w:p w14:paraId="6C70FBDD" w14:textId="23B224AE" w:rsidR="008104D4" w:rsidRPr="00BB7217" w:rsidRDefault="008104D4" w:rsidP="008104D4">
      <w:pPr>
        <w:pStyle w:val="Tekst"/>
      </w:pPr>
      <w:r w:rsidRPr="00BB7217">
        <w:t>Даље, изједначен је папирни и електронски облик општења у писаном облику и прописана употреба електронског потписа, у складу са законом, што у пракси значи да се захтева квалификовано електронско потписивање у случајевима када је законом прописано стављање својеручног потписа на неки документ.</w:t>
      </w:r>
    </w:p>
    <w:p w14:paraId="270423A1" w14:textId="16C4D938" w:rsidR="002E4008" w:rsidRPr="00BB7217" w:rsidRDefault="00CA73D2" w:rsidP="00DF7C33">
      <w:pPr>
        <w:pStyle w:val="Heading1"/>
      </w:pPr>
      <w:bookmarkStart w:id="21" w:name="_Toc468269541"/>
      <w:bookmarkStart w:id="22" w:name="_Toc468553621"/>
      <w:r w:rsidRPr="00BB7217">
        <w:lastRenderedPageBreak/>
        <w:t>Модел за објављивање података</w:t>
      </w:r>
      <w:bookmarkEnd w:id="21"/>
      <w:bookmarkEnd w:id="22"/>
    </w:p>
    <w:p w14:paraId="0F430497" w14:textId="77777777" w:rsidR="00FD7CBC" w:rsidRDefault="00B71E78" w:rsidP="00FD7CBC">
      <w:pPr>
        <w:pStyle w:val="Tekst"/>
      </w:pPr>
      <w:r w:rsidRPr="00BB7217">
        <w:t>Ово поглавље ће бити писано у облику препорука тако да се могу читати и применити независно од овог извештаја, од стран</w:t>
      </w:r>
      <w:r w:rsidR="00FD7CBC" w:rsidRPr="00BB7217">
        <w:t xml:space="preserve">е било које инспекцијске службе. Намера модела је униформисање интернет презентација инспекцијских служби према изгледу, садржају и начину објављивања прописаних информација. </w:t>
      </w:r>
    </w:p>
    <w:p w14:paraId="682ED50A" w14:textId="77777777" w:rsidR="00A94781" w:rsidRDefault="00A94781" w:rsidP="00FD7CBC">
      <w:pPr>
        <w:pStyle w:val="Tekst"/>
      </w:pPr>
      <w:r>
        <w:t xml:space="preserve">Модел ће уважити законски оквир, препоруке дате Смерницама за израду веб презентација органа државне управе и добру праксу. </w:t>
      </w:r>
    </w:p>
    <w:p w14:paraId="572C4CDC" w14:textId="0732885B" w:rsidR="00A94781" w:rsidRPr="00BB7217" w:rsidRDefault="00A94781" w:rsidP="00FD7CBC">
      <w:pPr>
        <w:pStyle w:val="Tekst"/>
      </w:pPr>
      <w:r>
        <w:t xml:space="preserve">Саставни део Модела је електронски документ </w:t>
      </w:r>
      <w:r w:rsidR="00D02254">
        <w:t xml:space="preserve">– табела </w:t>
      </w:r>
      <w:r>
        <w:t xml:space="preserve">за оцену усклађености интернет презентације, који је креиран тако да се на једноставан начин може </w:t>
      </w:r>
      <w:r w:rsidRPr="00A94781">
        <w:t>прилагодити тако да служи као контролна листа</w:t>
      </w:r>
      <w:r>
        <w:t xml:space="preserve">. Документ је намењен за електронско попуњавање, </w:t>
      </w:r>
      <w:r w:rsidR="00D02254">
        <w:t>и</w:t>
      </w:r>
      <w:r>
        <w:t xml:space="preserve"> аутоматски рачуна коначни број бодова и степен усклађености презентације са препорукама.</w:t>
      </w:r>
      <w:r w:rsidR="00D02254">
        <w:t xml:space="preserve"> </w:t>
      </w:r>
    </w:p>
    <w:p w14:paraId="6A310508" w14:textId="2BEBDF09" w:rsidR="00B71E78" w:rsidRDefault="00FD7CBC" w:rsidP="00FD7CBC">
      <w:pPr>
        <w:pStyle w:val="Tekst"/>
      </w:pPr>
      <w:r w:rsidRPr="00BB7217">
        <w:t>Овај модел је могуће користити као део техничке спецификације у процесу јавне набавке услуге израде интернет презентација.</w:t>
      </w:r>
    </w:p>
    <w:p w14:paraId="74BA04E4" w14:textId="77777777" w:rsidR="00A329AC" w:rsidRPr="00BB7217" w:rsidRDefault="00A329AC" w:rsidP="00A329AC">
      <w:pPr>
        <w:pStyle w:val="Heading2"/>
      </w:pPr>
      <w:bookmarkStart w:id="23" w:name="_Toc468269542"/>
      <w:bookmarkStart w:id="24" w:name="_Toc468553622"/>
      <w:r w:rsidRPr="00BB7217">
        <w:t>Садржај интернет презентације</w:t>
      </w:r>
      <w:bookmarkEnd w:id="23"/>
      <w:bookmarkEnd w:id="24"/>
    </w:p>
    <w:p w14:paraId="1F5AA434" w14:textId="77777777" w:rsidR="00A329AC" w:rsidRPr="00BB7217" w:rsidRDefault="00A329AC" w:rsidP="00A329AC">
      <w:r w:rsidRPr="00BB7217">
        <w:t>Садржај постављен на веб презентацији инспекције треба да испуњава:</w:t>
      </w:r>
    </w:p>
    <w:p w14:paraId="735A1EA7" w14:textId="77777777" w:rsidR="00A329AC" w:rsidRPr="00BB7217" w:rsidRDefault="00A329AC" w:rsidP="00A329AC">
      <w:pPr>
        <w:pStyle w:val="ListParagraph"/>
        <w:numPr>
          <w:ilvl w:val="0"/>
          <w:numId w:val="4"/>
        </w:numPr>
      </w:pPr>
      <w:r w:rsidRPr="00BB7217">
        <w:t>Информације о мандату и раду инспекцијске службе</w:t>
      </w:r>
    </w:p>
    <w:p w14:paraId="6356DC9C" w14:textId="77777777" w:rsidR="00A329AC" w:rsidRPr="00BB7217" w:rsidRDefault="00A329AC" w:rsidP="00A329AC">
      <w:pPr>
        <w:pStyle w:val="ListParagraph"/>
        <w:numPr>
          <w:ilvl w:val="0"/>
          <w:numId w:val="4"/>
        </w:numPr>
      </w:pPr>
      <w:r w:rsidRPr="00BB7217">
        <w:t>Законски прописан минимум норми обавештавања (дат у поглављу Анализе регулативе)</w:t>
      </w:r>
    </w:p>
    <w:p w14:paraId="165A34E6" w14:textId="77777777" w:rsidR="00A329AC" w:rsidRPr="00BB7217" w:rsidRDefault="00A329AC" w:rsidP="00A329AC">
      <w:pPr>
        <w:pStyle w:val="ListParagraph"/>
        <w:numPr>
          <w:ilvl w:val="0"/>
          <w:numId w:val="4"/>
        </w:numPr>
      </w:pPr>
      <w:r w:rsidRPr="00BB7217">
        <w:t>Унапређење комуникације са грађанима и правним субјектима (анкете, контакт форме, жалбе на рад и сл.)</w:t>
      </w:r>
    </w:p>
    <w:p w14:paraId="1DAC286F" w14:textId="77777777" w:rsidR="00A329AC" w:rsidRPr="00BB7217" w:rsidRDefault="00A329AC" w:rsidP="00A329AC">
      <w:pPr>
        <w:pStyle w:val="ListParagraph"/>
        <w:numPr>
          <w:ilvl w:val="0"/>
          <w:numId w:val="4"/>
        </w:numPr>
      </w:pPr>
      <w:r w:rsidRPr="00BB7217">
        <w:t>Једноставно сналажење и проналажење информације за корисника</w:t>
      </w:r>
    </w:p>
    <w:p w14:paraId="3CF4A058" w14:textId="700291A5" w:rsidR="00A329AC" w:rsidRDefault="00A329AC" w:rsidP="00A329AC">
      <w:pPr>
        <w:pStyle w:val="ListParagraph"/>
        <w:numPr>
          <w:ilvl w:val="0"/>
          <w:numId w:val="4"/>
        </w:numPr>
      </w:pPr>
      <w:r w:rsidRPr="00BB7217">
        <w:t xml:space="preserve">Могућност аутоматског преузимања информација од стране другог рачунарског система (обавеза размене информација, члан 8 </w:t>
      </w:r>
      <w:r>
        <w:t>ЗИН</w:t>
      </w:r>
      <w:r w:rsidRPr="00BB7217">
        <w:t xml:space="preserve"> и ПОУ иницијатива за отварање података)</w:t>
      </w:r>
    </w:p>
    <w:p w14:paraId="38A5BA6A" w14:textId="51B88B74" w:rsidR="00D02254" w:rsidRDefault="00D02254" w:rsidP="00D02254">
      <w:pPr>
        <w:pStyle w:val="Heading2"/>
      </w:pPr>
      <w:bookmarkStart w:id="25" w:name="_Toc468553623"/>
      <w:r>
        <w:t>Основни елементи</w:t>
      </w:r>
      <w:bookmarkEnd w:id="25"/>
    </w:p>
    <w:p w14:paraId="10CA5CC5" w14:textId="3AEE81FF" w:rsidR="00D02254" w:rsidRDefault="00D02254" w:rsidP="00D02254">
      <w:pPr>
        <w:pStyle w:val="Tekst"/>
      </w:pPr>
      <w:r>
        <w:t xml:space="preserve">Предлог за унапређење организационе структуре подразумева прелазак инспекцијских служби у Инспекторате. Такав прелазак треба да прати и визуелно представљање односно интернет презентација. </w:t>
      </w:r>
      <w:r w:rsidR="00834058">
        <w:t xml:space="preserve">Интернет презентација треба да буде креирана на засебном домену или поддомену органа коме припада и тако исказује целину. </w:t>
      </w:r>
    </w:p>
    <w:p w14:paraId="552C86E9" w14:textId="50EACB14" w:rsidR="00A329AC" w:rsidRDefault="00A329AC" w:rsidP="00A329AC">
      <w:pPr>
        <w:pStyle w:val="Tekst"/>
      </w:pPr>
      <w:r w:rsidRPr="00BB7217">
        <w:rPr>
          <w:b/>
        </w:rPr>
        <w:t>Интернет адреса</w:t>
      </w:r>
      <w:r w:rsidRPr="00BB7217">
        <w:t xml:space="preserve"> која </w:t>
      </w:r>
      <w:r w:rsidRPr="00A329AC">
        <w:t>указује</w:t>
      </w:r>
      <w:r w:rsidRPr="00BB7217">
        <w:t xml:space="preserve"> на презентацију инспекције такође треба да буде препознатљива као званична. На основу Закључка Владе 030-4199/2008 и 030-8362/2011 органи управе су дужни да за своје званичне </w:t>
      </w:r>
      <w:r>
        <w:t>интернет</w:t>
      </w:r>
      <w:r w:rsidRPr="00BB7217">
        <w:t xml:space="preserve"> презентације користе доменско име које се завршава са “gov.rs” и “</w:t>
      </w:r>
      <w:proofErr w:type="spellStart"/>
      <w:r w:rsidRPr="00BB7217">
        <w:t>упр.срб</w:t>
      </w:r>
      <w:proofErr w:type="spellEnd"/>
      <w:r w:rsidRPr="00BB7217">
        <w:t>“.</w:t>
      </w:r>
      <w:r w:rsidRPr="00BB7217">
        <w:rPr>
          <w:rStyle w:val="FootnoteReference"/>
        </w:rPr>
        <w:footnoteReference w:id="12"/>
      </w:r>
      <w:r>
        <w:t xml:space="preserve"> Адреса презентације</w:t>
      </w:r>
      <w:r w:rsidRPr="00BB7217">
        <w:t xml:space="preserve"> треба јасно да укаже посетиоцу већ приликом претраге да се ради о званичној презентацији.</w:t>
      </w:r>
    </w:p>
    <w:p w14:paraId="2CE9D6CE" w14:textId="7BC18867" w:rsidR="00CB43E6" w:rsidRPr="00CB43E6" w:rsidRDefault="00834058" w:rsidP="00CB43E6">
      <w:pPr>
        <w:pStyle w:val="Tekst"/>
        <w:rPr>
          <w:rStyle w:val="Hyperlink"/>
          <w:color w:val="auto"/>
          <w:u w:val="none"/>
        </w:rPr>
      </w:pPr>
      <w:r w:rsidRPr="00BB7217">
        <w:t xml:space="preserve">Уколико се презентација налази као </w:t>
      </w:r>
      <w:proofErr w:type="spellStart"/>
      <w:r w:rsidRPr="00BB7217">
        <w:t>подсекција</w:t>
      </w:r>
      <w:proofErr w:type="spellEnd"/>
      <w:r w:rsidRPr="00BB7217">
        <w:t xml:space="preserve"> постојеће презентације, на пример Министарства или Секретаријата, потребно ју је раздвојити тако што ће бити на поддомену матичне презентације. У пракси би такав назив изгледао:</w:t>
      </w:r>
      <w:r w:rsidR="00CB43E6">
        <w:t xml:space="preserve"> </w:t>
      </w:r>
      <w:hyperlink r:id="rId10" w:history="1">
        <w:r w:rsidR="00CB43E6" w:rsidRPr="00EA45D1">
          <w:rPr>
            <w:rStyle w:val="Hyperlink"/>
          </w:rPr>
          <w:t>http://inspekcija/m</w:t>
        </w:r>
        <w:r w:rsidR="00CB43E6" w:rsidRPr="00EA45D1">
          <w:rPr>
            <w:rStyle w:val="Hyperlink"/>
            <w:lang w:val="en-US"/>
          </w:rPr>
          <w:t>inistarstvo</w:t>
        </w:r>
        <w:r w:rsidR="00CB43E6" w:rsidRPr="00EA45D1">
          <w:rPr>
            <w:rStyle w:val="Hyperlink"/>
          </w:rPr>
          <w:t>.gov.rs/</w:t>
        </w:r>
      </w:hyperlink>
      <w:r w:rsidRPr="00BB7217">
        <w:t xml:space="preserve"> односно</w:t>
      </w:r>
      <w:r w:rsidR="00CB43E6">
        <w:t xml:space="preserve"> </w:t>
      </w:r>
      <w:hyperlink r:id="rId11" w:history="1">
        <w:r w:rsidR="00EF083C" w:rsidRPr="00EA45D1">
          <w:rPr>
            <w:rStyle w:val="Hyperlink"/>
          </w:rPr>
          <w:t>http://инспекција/министарство.упр.срб/</w:t>
        </w:r>
      </w:hyperlink>
    </w:p>
    <w:p w14:paraId="06DCC888" w14:textId="50F8F4ED" w:rsidR="00CB43E6" w:rsidRDefault="00CB43E6" w:rsidP="00CB43E6">
      <w:pPr>
        <w:pStyle w:val="Tekst"/>
        <w:rPr>
          <w:rStyle w:val="Hyperlink"/>
          <w:color w:val="auto"/>
          <w:u w:val="none"/>
        </w:rPr>
      </w:pPr>
      <w:r>
        <w:t xml:space="preserve">Да би се сачувале интернет адресе и адресе електронске поште и након промене закона о министарствима још боље решење је да инспекција односно инспекторат буде на засебном домену. У том случају би интернет адреса била: </w:t>
      </w:r>
      <w:hyperlink r:id="rId12" w:history="1">
        <w:r w:rsidRPr="00EA45D1">
          <w:rPr>
            <w:rStyle w:val="Hyperlink"/>
          </w:rPr>
          <w:t>http://inspekcija.gov.rs/</w:t>
        </w:r>
      </w:hyperlink>
      <w:r w:rsidRPr="00BB7217">
        <w:t xml:space="preserve"> односно</w:t>
      </w:r>
      <w:r>
        <w:t xml:space="preserve"> </w:t>
      </w:r>
      <w:hyperlink r:id="rId13" w:history="1">
        <w:r w:rsidRPr="00EA45D1">
          <w:rPr>
            <w:rStyle w:val="Hyperlink"/>
          </w:rPr>
          <w:t>http://инспекција.упр.срб/</w:t>
        </w:r>
      </w:hyperlink>
      <w:r>
        <w:rPr>
          <w:rStyle w:val="Hyperlink"/>
          <w:color w:val="auto"/>
          <w:u w:val="none"/>
        </w:rPr>
        <w:t>. Овакав приступ омогућава и конзистентност електронске адресе</w:t>
      </w:r>
      <w:r w:rsidR="00A015F2">
        <w:rPr>
          <w:rStyle w:val="Hyperlink"/>
          <w:color w:val="auto"/>
          <w:u w:val="none"/>
          <w:lang w:val="sr-Latn-RS"/>
        </w:rPr>
        <w:t xml:space="preserve"> </w:t>
      </w:r>
      <w:r w:rsidR="00A015F2">
        <w:rPr>
          <w:rStyle w:val="Hyperlink"/>
          <w:color w:val="auto"/>
          <w:u w:val="none"/>
        </w:rPr>
        <w:t>запосле</w:t>
      </w:r>
      <w:r>
        <w:rPr>
          <w:rStyle w:val="Hyperlink"/>
          <w:color w:val="auto"/>
          <w:u w:val="none"/>
        </w:rPr>
        <w:t xml:space="preserve"> инспекција односно инспектората.</w:t>
      </w:r>
    </w:p>
    <w:p w14:paraId="0B226373" w14:textId="77777777" w:rsidR="00610EA9" w:rsidRPr="00BB7217" w:rsidRDefault="00610EA9" w:rsidP="00610EA9">
      <w:pPr>
        <w:pStyle w:val="Heading2"/>
      </w:pPr>
      <w:bookmarkStart w:id="26" w:name="_Toc468269543"/>
      <w:bookmarkStart w:id="27" w:name="_Toc468553624"/>
      <w:r w:rsidRPr="00BB7217">
        <w:lastRenderedPageBreak/>
        <w:t>Почетна страница</w:t>
      </w:r>
      <w:bookmarkEnd w:id="26"/>
      <w:bookmarkEnd w:id="27"/>
    </w:p>
    <w:p w14:paraId="414DE115" w14:textId="40676A17" w:rsidR="00610EA9" w:rsidRPr="00BB7217" w:rsidRDefault="00610EA9" w:rsidP="00610EA9">
      <w:pPr>
        <w:pStyle w:val="Tekst"/>
      </w:pPr>
      <w:r w:rsidRPr="00BB7217">
        <w:t>Ово је, углавном, прва страница коју посетилац отвара приликом доласка на презентацију. Већина посета ће бити поновљене те ову страницу треба конципирати тако да буде јединствено место на ком су приказане актуелности и најинтересантнији садржаји з</w:t>
      </w:r>
      <w:r w:rsidR="00475FA6">
        <w:t>бог којих се посетиоци враћају.</w:t>
      </w:r>
    </w:p>
    <w:p w14:paraId="63C0C635" w14:textId="77777777" w:rsidR="00610EA9" w:rsidRPr="00BB7217" w:rsidRDefault="00610EA9" w:rsidP="00610EA9">
      <w:pPr>
        <w:pStyle w:val="Tekst"/>
      </w:pPr>
      <w:r w:rsidRPr="00BB7217">
        <w:t>Олакшавајућа околност је што су савремене презентације управо тако и конципиране, тако да се коришћењем алата за руковање садржајем (CMS) ова потреба једноставно испуњава постављањем панела са садржајем који се динамички учитава и приказује најактуелније и нове информације.</w:t>
      </w:r>
    </w:p>
    <w:p w14:paraId="7580C873" w14:textId="4E35FAF2" w:rsidR="00610EA9" w:rsidRPr="00BB7217" w:rsidRDefault="00610EA9" w:rsidP="00610EA9">
      <w:pPr>
        <w:pStyle w:val="ListParagraph"/>
      </w:pPr>
      <w:r w:rsidRPr="00BB7217">
        <w:t>Новости</w:t>
      </w:r>
    </w:p>
    <w:p w14:paraId="6896E4E0" w14:textId="77777777" w:rsidR="00610EA9" w:rsidRPr="00BB7217" w:rsidRDefault="00610EA9" w:rsidP="00610EA9">
      <w:pPr>
        <w:pStyle w:val="ListParagraph"/>
      </w:pPr>
      <w:r w:rsidRPr="00BB7217">
        <w:t>Надлежности поједностављено</w:t>
      </w:r>
    </w:p>
    <w:p w14:paraId="7FD76460" w14:textId="77777777" w:rsidR="00610EA9" w:rsidRPr="00BB7217" w:rsidRDefault="00610EA9" w:rsidP="00610EA9">
      <w:pPr>
        <w:pStyle w:val="ListParagraph"/>
      </w:pPr>
      <w:r w:rsidRPr="00BB7217">
        <w:t>Промене прописа / прописи</w:t>
      </w:r>
    </w:p>
    <w:p w14:paraId="0532B283" w14:textId="77777777" w:rsidR="00610EA9" w:rsidRPr="00BB7217" w:rsidRDefault="00610EA9" w:rsidP="00610EA9">
      <w:pPr>
        <w:pStyle w:val="ListParagraph"/>
      </w:pPr>
      <w:r w:rsidRPr="00BB7217">
        <w:t>План рада</w:t>
      </w:r>
    </w:p>
    <w:p w14:paraId="04F6F3FB" w14:textId="77777777" w:rsidR="00610EA9" w:rsidRPr="00BB7217" w:rsidRDefault="00610EA9" w:rsidP="00610EA9">
      <w:pPr>
        <w:pStyle w:val="ListParagraph"/>
      </w:pPr>
      <w:r w:rsidRPr="00BB7217">
        <w:t>Захтеви и процедуре</w:t>
      </w:r>
    </w:p>
    <w:p w14:paraId="10FA93FE" w14:textId="77777777" w:rsidR="00610EA9" w:rsidRPr="00BB7217" w:rsidRDefault="00610EA9" w:rsidP="00610EA9">
      <w:pPr>
        <w:pStyle w:val="ListParagraph"/>
      </w:pPr>
      <w:r w:rsidRPr="00BB7217">
        <w:t>Брза претрага</w:t>
      </w:r>
    </w:p>
    <w:p w14:paraId="780C2666" w14:textId="77777777" w:rsidR="00610EA9" w:rsidRPr="00BB7217" w:rsidRDefault="00610EA9" w:rsidP="00610EA9">
      <w:pPr>
        <w:pStyle w:val="ListParagraph"/>
      </w:pPr>
      <w:r w:rsidRPr="00BB7217">
        <w:t>Анкете и истраживања</w:t>
      </w:r>
    </w:p>
    <w:p w14:paraId="2AFFFABD" w14:textId="5D1AD60F" w:rsidR="00610EA9" w:rsidRDefault="00610EA9" w:rsidP="00610EA9">
      <w:pPr>
        <w:pStyle w:val="Tekst"/>
      </w:pPr>
      <w:r w:rsidRPr="00BB7217">
        <w:t>Наведени панели</w:t>
      </w:r>
      <w:r w:rsidR="00475FA6">
        <w:t>, сем новости и анкета,</w:t>
      </w:r>
      <w:r w:rsidRPr="00BB7217">
        <w:t xml:space="preserve"> нису облигаторни већ представљају предлог да се почетна страница учини функционалном. Сваки панел садржи кратку информацију и линк ка страници или</w:t>
      </w:r>
      <w:r>
        <w:t xml:space="preserve"> документу са више информација.</w:t>
      </w:r>
    </w:p>
    <w:p w14:paraId="6992D2CA" w14:textId="5CC66689" w:rsidR="00475FA6" w:rsidRDefault="00475FA6" w:rsidP="00475FA6">
      <w:pPr>
        <w:pStyle w:val="Heading3"/>
      </w:pPr>
      <w:bookmarkStart w:id="28" w:name="_Toc468553625"/>
      <w:r>
        <w:t>Новости</w:t>
      </w:r>
      <w:bookmarkEnd w:id="28"/>
    </w:p>
    <w:p w14:paraId="56625DF9" w14:textId="06442209" w:rsidR="00475FA6" w:rsidRDefault="00475FA6" w:rsidP="006101F8">
      <w:pPr>
        <w:pStyle w:val="Tekst"/>
      </w:pPr>
      <w:r>
        <w:t>На овом делу почетне странице приказују се новости, обавештења и</w:t>
      </w:r>
      <w:r w:rsidRPr="00BB7217">
        <w:t xml:space="preserve"> информације од јавног значаја</w:t>
      </w:r>
      <w:r>
        <w:t xml:space="preserve">. Посебно је важно у овом делу објавити </w:t>
      </w:r>
      <w:r w:rsidRPr="00475FA6">
        <w:t>информације о постојању о</w:t>
      </w:r>
      <w:r>
        <w:t>збиљног ризика и предузете мере</w:t>
      </w:r>
      <w:r w:rsidR="006101F8">
        <w:t>. Та законска обавеза</w:t>
      </w:r>
      <w:r w:rsidR="00E121C3">
        <w:t>, као и обавеза за објављивањем анкета</w:t>
      </w:r>
      <w:r w:rsidR="006101F8">
        <w:t xml:space="preserve"> </w:t>
      </w:r>
      <w:r w:rsidR="00E121C3">
        <w:t xml:space="preserve">је обрађена у секцији Законски оквир - </w:t>
      </w:r>
      <w:r w:rsidR="00E121C3" w:rsidRPr="00BB7217">
        <w:t>Комуникација са јавности</w:t>
      </w:r>
    </w:p>
    <w:p w14:paraId="57879860" w14:textId="26DB8372" w:rsidR="005C2576" w:rsidRDefault="005C2576" w:rsidP="006101F8">
      <w:pPr>
        <w:pStyle w:val="Heading3"/>
      </w:pPr>
      <w:bookmarkStart w:id="29" w:name="_Toc468553626"/>
      <w:r w:rsidRPr="005C2576">
        <w:t>Анкете и истр</w:t>
      </w:r>
      <w:r>
        <w:t>аживања</w:t>
      </w:r>
      <w:bookmarkEnd w:id="29"/>
    </w:p>
    <w:p w14:paraId="677CB64D" w14:textId="6B3B0823" w:rsidR="006101F8" w:rsidRPr="00FE2CDF" w:rsidRDefault="00E121C3" w:rsidP="00FE2CDF">
      <w:pPr>
        <w:pStyle w:val="Tekst"/>
        <w:rPr>
          <w:lang w:val="sr-Latn-RS"/>
        </w:rPr>
      </w:pPr>
      <w:r>
        <w:t xml:space="preserve">Почетна страница, односно један од панела на њој, је одличан избор за испуњавање обавезе објављивања анкета и </w:t>
      </w:r>
      <w:r w:rsidRPr="00FE2CDF">
        <w:t>истраживања</w:t>
      </w:r>
      <w:r>
        <w:t xml:space="preserve"> јавног </w:t>
      </w:r>
      <w:proofErr w:type="spellStart"/>
      <w:r>
        <w:t>мнења</w:t>
      </w:r>
      <w:proofErr w:type="spellEnd"/>
      <w:r>
        <w:t xml:space="preserve">. Препорука за припрему анкете и постављања на релевантне интернет странице инспекцијских служби </w:t>
      </w:r>
      <w:r w:rsidR="00FE2CDF">
        <w:t xml:space="preserve">сачињен је у оквиру </w:t>
      </w:r>
      <w:r w:rsidR="00FE2CDF" w:rsidRPr="00FE2CDF">
        <w:t>USAID</w:t>
      </w:r>
      <w:r w:rsidR="00FE2CDF">
        <w:t xml:space="preserve"> </w:t>
      </w:r>
      <w:r>
        <w:t>пројект</w:t>
      </w:r>
      <w:r w:rsidR="00FE2CDF">
        <w:t>а</w:t>
      </w:r>
      <w:r>
        <w:t xml:space="preserve"> за </w:t>
      </w:r>
      <w:r w:rsidR="00FE2CDF">
        <w:t>боље услове пословања</w:t>
      </w:r>
      <w:r w:rsidR="00FE2CDF">
        <w:rPr>
          <w:rStyle w:val="FootnoteReference"/>
        </w:rPr>
        <w:footnoteReference w:id="13"/>
      </w:r>
      <w:r w:rsidR="00FE2CDF">
        <w:rPr>
          <w:lang w:val="sr-Latn-RS"/>
        </w:rPr>
        <w:t>.</w:t>
      </w:r>
    </w:p>
    <w:p w14:paraId="0EFF6EA3" w14:textId="77777777" w:rsidR="00450E08" w:rsidRDefault="00450E08">
      <w:pPr>
        <w:spacing w:after="160" w:line="259" w:lineRule="auto"/>
        <w:rPr>
          <w:rFonts w:asciiTheme="majorHAnsi" w:eastAsiaTheme="majorEastAsia" w:hAnsiTheme="majorHAnsi" w:cstheme="majorBidi"/>
          <w:color w:val="2E74B5" w:themeColor="accent1" w:themeShade="BF"/>
          <w:sz w:val="26"/>
          <w:szCs w:val="26"/>
        </w:rPr>
      </w:pPr>
      <w:bookmarkStart w:id="30" w:name="_Toc468269544"/>
      <w:r>
        <w:br w:type="page"/>
      </w:r>
    </w:p>
    <w:p w14:paraId="57A3E77E" w14:textId="7BA54971" w:rsidR="002368F5" w:rsidRPr="00BB7217" w:rsidRDefault="002368F5" w:rsidP="00DF7C33">
      <w:pPr>
        <w:pStyle w:val="Heading2"/>
      </w:pPr>
      <w:bookmarkStart w:id="31" w:name="_Toc468553627"/>
      <w:r w:rsidRPr="00BB7217">
        <w:lastRenderedPageBreak/>
        <w:t>Ц</w:t>
      </w:r>
      <w:r w:rsidRPr="00BB7217">
        <w:rPr>
          <w:rStyle w:val="Heading2Char"/>
        </w:rPr>
        <w:t>е</w:t>
      </w:r>
      <w:r w:rsidRPr="00BB7217">
        <w:t>лине</w:t>
      </w:r>
      <w:bookmarkEnd w:id="30"/>
      <w:bookmarkEnd w:id="31"/>
    </w:p>
    <w:p w14:paraId="400DFCAA" w14:textId="2FDA0A16" w:rsidR="00B71E78" w:rsidRPr="00BB7217" w:rsidRDefault="002368F5" w:rsidP="00F67CEC">
      <w:pPr>
        <w:pStyle w:val="Tekst"/>
      </w:pPr>
      <w:r w:rsidRPr="00BB7217">
        <w:t xml:space="preserve"> Приликом конципирања презентације треба водити рачуна да се информације у оквиру различитих инспекција представљају кориснику на конзистентан </w:t>
      </w:r>
      <w:r w:rsidR="00A51CF8" w:rsidRPr="00BB7217">
        <w:t xml:space="preserve">и логичан </w:t>
      </w:r>
      <w:r w:rsidRPr="00BB7217">
        <w:t>начин. Тако ће бити омогућено једноставније сналажење и проналажење информација на очекиваним местима.</w:t>
      </w:r>
      <w:r w:rsidR="00A51CF8" w:rsidRPr="00BB7217">
        <w:t xml:space="preserve"> Мапа сајта са називима целина је приказана на следећој слици:</w:t>
      </w:r>
    </w:p>
    <w:p w14:paraId="23C901E6" w14:textId="14F799AD" w:rsidR="00F4422A" w:rsidRPr="00BB7217" w:rsidRDefault="00C260D5" w:rsidP="00A85627">
      <w:bookmarkStart w:id="32" w:name="_Toc468269545"/>
      <w:r>
        <w:rPr>
          <w:noProof/>
          <w:lang w:val="en-US"/>
        </w:rPr>
        <w:drawing>
          <wp:inline distT="0" distB="0" distL="0" distR="0" wp14:anchorId="60107620" wp14:editId="1E3E34E0">
            <wp:extent cx="6373504" cy="4114350"/>
            <wp:effectExtent l="0" t="0" r="8255" b="635"/>
            <wp:docPr id="4" name="Picture 4" descr="D:\Users\Ax\Dropbox\Projekti\Inspekcije MDULS\Output\Dijagrami i slike\Mapa sajt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s\Ax\Dropbox\Projekti\Inspekcije MDULS\Output\Dijagrami i slike\Mapa sajta 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4701" cy="4134489"/>
                    </a:xfrm>
                    <a:prstGeom prst="rect">
                      <a:avLst/>
                    </a:prstGeom>
                    <a:noFill/>
                    <a:ln>
                      <a:noFill/>
                    </a:ln>
                  </pic:spPr>
                </pic:pic>
              </a:graphicData>
            </a:graphic>
          </wp:inline>
        </w:drawing>
      </w:r>
      <w:bookmarkEnd w:id="32"/>
    </w:p>
    <w:p w14:paraId="4EBE249D" w14:textId="14ED6C1C" w:rsidR="00F4422A" w:rsidRPr="00BB7217" w:rsidRDefault="00F4422A" w:rsidP="00F4422A">
      <w:pPr>
        <w:keepNext/>
      </w:pPr>
    </w:p>
    <w:p w14:paraId="5B4BA054" w14:textId="00E541A7" w:rsidR="00F4422A" w:rsidRPr="00BB7217" w:rsidRDefault="00F4422A" w:rsidP="00F4422A">
      <w:pPr>
        <w:pStyle w:val="Caption"/>
        <w:jc w:val="center"/>
      </w:pPr>
      <w:r w:rsidRPr="00BB7217">
        <w:t xml:space="preserve">Слика </w:t>
      </w:r>
      <w:r w:rsidR="00610EA9">
        <w:t>1</w:t>
      </w:r>
    </w:p>
    <w:p w14:paraId="44859768" w14:textId="62AE0FBB" w:rsidR="00F4422A" w:rsidRPr="00BB7217" w:rsidRDefault="00767DF4" w:rsidP="00F4422A">
      <w:r w:rsidRPr="00BB7217">
        <w:t>За сваку од наведених позиција следи опис са детаљима потребним за имплементацију.</w:t>
      </w:r>
    </w:p>
    <w:p w14:paraId="7BE0E863" w14:textId="23C06F36" w:rsidR="002368F5" w:rsidRPr="00BB7217" w:rsidRDefault="00F4422A" w:rsidP="00DF7C33">
      <w:pPr>
        <w:pStyle w:val="Heading3"/>
      </w:pPr>
      <w:bookmarkStart w:id="33" w:name="_Toc468269546"/>
      <w:bookmarkStart w:id="34" w:name="_Toc468553628"/>
      <w:r w:rsidRPr="00BB7217">
        <w:t>О</w:t>
      </w:r>
      <w:r w:rsidR="002368F5" w:rsidRPr="00BB7217">
        <w:t xml:space="preserve"> нама</w:t>
      </w:r>
      <w:bookmarkEnd w:id="33"/>
      <w:bookmarkEnd w:id="34"/>
    </w:p>
    <w:p w14:paraId="3974A75D" w14:textId="73DFAB1D" w:rsidR="00AD1819" w:rsidRPr="00BB7217" w:rsidRDefault="00797C47" w:rsidP="00797C47">
      <w:pPr>
        <w:pStyle w:val="Tekst"/>
      </w:pPr>
      <w:r w:rsidRPr="00BB7217">
        <w:t>Секција треба да омогући посетиоцу да се упозна са мандатом и овлашћењима инспекцијске службе. Изнете информације треба да буду референциране, где је могуће, на постојећу законску регулативу која је постављена у секцији „Прописи“. У овој секцији потребно је навести следеће и</w:t>
      </w:r>
      <w:r w:rsidR="002368F5" w:rsidRPr="00BB7217">
        <w:t xml:space="preserve">нформације о инспекцији: </w:t>
      </w:r>
    </w:p>
    <w:p w14:paraId="3B2F9AC0" w14:textId="67A95808" w:rsidR="00AD1819" w:rsidRPr="00BB7217" w:rsidRDefault="00AD1819" w:rsidP="00F67CEC">
      <w:pPr>
        <w:pStyle w:val="ListParagraph"/>
      </w:pPr>
      <w:r w:rsidRPr="00BB7217">
        <w:t>Надлежности, овлашћења и обавезе</w:t>
      </w:r>
    </w:p>
    <w:p w14:paraId="1B664211" w14:textId="77777777" w:rsidR="00AD1819" w:rsidRPr="00BB7217" w:rsidRDefault="00AD1819" w:rsidP="00F67CEC">
      <w:pPr>
        <w:pStyle w:val="ListParagraph"/>
      </w:pPr>
      <w:r w:rsidRPr="00BB7217">
        <w:t>Облик организације</w:t>
      </w:r>
    </w:p>
    <w:p w14:paraId="479CBD9A" w14:textId="3870A0E5" w:rsidR="00AD1819" w:rsidRPr="00BB7217" w:rsidRDefault="00AD1819" w:rsidP="00F67CEC">
      <w:pPr>
        <w:pStyle w:val="ListParagraph"/>
      </w:pPr>
      <w:r w:rsidRPr="00BB7217">
        <w:t>Припадност надлежном органу</w:t>
      </w:r>
    </w:p>
    <w:p w14:paraId="0D6FA726" w14:textId="551AE421" w:rsidR="002368F5" w:rsidRPr="00BB7217" w:rsidRDefault="00D475BE" w:rsidP="00F67CEC">
      <w:pPr>
        <w:pStyle w:val="ListParagraph"/>
      </w:pPr>
      <w:r w:rsidRPr="00BB7217">
        <w:t>О</w:t>
      </w:r>
      <w:r w:rsidR="00AD1819" w:rsidRPr="00BB7217">
        <w:t xml:space="preserve">рганизациона </w:t>
      </w:r>
      <w:r w:rsidR="00F93CDB" w:rsidRPr="00BB7217">
        <w:t>структура</w:t>
      </w:r>
    </w:p>
    <w:p w14:paraId="362C5B2C" w14:textId="046D3615" w:rsidR="002368F5" w:rsidRPr="00BB7217" w:rsidRDefault="002368F5" w:rsidP="00DF7C33">
      <w:pPr>
        <w:pStyle w:val="Heading3"/>
      </w:pPr>
      <w:bookmarkStart w:id="35" w:name="_Toc468269547"/>
      <w:bookmarkStart w:id="36" w:name="_Toc468553629"/>
      <w:r w:rsidRPr="00BB7217">
        <w:t>Прописи</w:t>
      </w:r>
      <w:bookmarkEnd w:id="35"/>
      <w:bookmarkEnd w:id="36"/>
    </w:p>
    <w:p w14:paraId="56341808" w14:textId="4BB4773F" w:rsidR="00D475BE" w:rsidRPr="00BB7217" w:rsidRDefault="00F67CEC" w:rsidP="00610850">
      <w:pPr>
        <w:pStyle w:val="Tekst"/>
      </w:pPr>
      <w:r w:rsidRPr="00BB7217">
        <w:t xml:space="preserve">У складу са Законом о инспекцијском надзору, </w:t>
      </w:r>
      <w:r w:rsidR="00D475BE" w:rsidRPr="00BB7217">
        <w:t xml:space="preserve">у овој секцији </w:t>
      </w:r>
      <w:r w:rsidRPr="00BB7217">
        <w:t xml:space="preserve">потребно је </w:t>
      </w:r>
      <w:r w:rsidR="00D475BE" w:rsidRPr="00BB7217">
        <w:t>приказати:</w:t>
      </w:r>
    </w:p>
    <w:p w14:paraId="4280775A" w14:textId="7A1A9E91" w:rsidR="00D475BE" w:rsidRPr="00BB7217" w:rsidRDefault="00610850" w:rsidP="00F67CEC">
      <w:pPr>
        <w:pStyle w:val="ListParagraph"/>
        <w:numPr>
          <w:ilvl w:val="0"/>
          <w:numId w:val="7"/>
        </w:numPr>
      </w:pPr>
      <w:r w:rsidRPr="00BB7217">
        <w:t>Важећи  прописи</w:t>
      </w:r>
    </w:p>
    <w:p w14:paraId="41EEE6C6" w14:textId="46A1BF1C" w:rsidR="004B78F3" w:rsidRPr="00BB7217" w:rsidRDefault="004B78F3" w:rsidP="00F67CEC">
      <w:pPr>
        <w:pStyle w:val="ListParagraph"/>
        <w:numPr>
          <w:ilvl w:val="1"/>
          <w:numId w:val="7"/>
        </w:numPr>
      </w:pPr>
      <w:r w:rsidRPr="00BB7217">
        <w:t>Закони</w:t>
      </w:r>
    </w:p>
    <w:p w14:paraId="23F344C3" w14:textId="5A923A88" w:rsidR="004B78F3" w:rsidRPr="00BB7217" w:rsidRDefault="004B78F3" w:rsidP="00F67CEC">
      <w:pPr>
        <w:pStyle w:val="ListParagraph"/>
        <w:numPr>
          <w:ilvl w:val="1"/>
          <w:numId w:val="7"/>
        </w:numPr>
      </w:pPr>
      <w:r w:rsidRPr="00BB7217">
        <w:t>Правилници</w:t>
      </w:r>
    </w:p>
    <w:p w14:paraId="462D7FF2" w14:textId="40A28C7C" w:rsidR="004B78F3" w:rsidRPr="00BB7217" w:rsidRDefault="004B78F3" w:rsidP="00F67CEC">
      <w:pPr>
        <w:pStyle w:val="ListParagraph"/>
        <w:numPr>
          <w:ilvl w:val="1"/>
          <w:numId w:val="7"/>
        </w:numPr>
      </w:pPr>
      <w:r w:rsidRPr="00BB7217">
        <w:t>Инструкције, одлуке</w:t>
      </w:r>
    </w:p>
    <w:p w14:paraId="5FA85225" w14:textId="585BC87E" w:rsidR="002368F5" w:rsidRPr="00BB7217" w:rsidRDefault="00F67CEC" w:rsidP="00F67CEC">
      <w:pPr>
        <w:pStyle w:val="ListParagraph"/>
        <w:numPr>
          <w:ilvl w:val="0"/>
          <w:numId w:val="7"/>
        </w:numPr>
      </w:pPr>
      <w:r w:rsidRPr="00BB7217">
        <w:t>И</w:t>
      </w:r>
      <w:r w:rsidR="002368F5" w:rsidRPr="00BB7217">
        <w:t>нформације о променама прописа</w:t>
      </w:r>
    </w:p>
    <w:p w14:paraId="654F90D0" w14:textId="49A0863E" w:rsidR="00F67CEC" w:rsidRPr="00BB7217" w:rsidRDefault="00F67CEC" w:rsidP="00F67CEC">
      <w:pPr>
        <w:pStyle w:val="ListParagraph"/>
        <w:numPr>
          <w:ilvl w:val="0"/>
          <w:numId w:val="7"/>
        </w:numPr>
      </w:pPr>
      <w:r w:rsidRPr="00BB7217">
        <w:lastRenderedPageBreak/>
        <w:t>Акта о примени прописа</w:t>
      </w:r>
    </w:p>
    <w:p w14:paraId="4450606F" w14:textId="3CBF8698" w:rsidR="00172581" w:rsidRPr="00BB7217" w:rsidRDefault="00F67CEC" w:rsidP="00172581">
      <w:pPr>
        <w:pStyle w:val="Tekst"/>
      </w:pPr>
      <w:r w:rsidRPr="00BB7217">
        <w:t>Све документе који се објављују потребно је</w:t>
      </w:r>
      <w:r w:rsidR="009559AB" w:rsidRPr="00BB7217">
        <w:t xml:space="preserve"> објављивати према препорученим стандардима дефинисаним у </w:t>
      </w:r>
      <w:r w:rsidR="00172581" w:rsidRPr="00BB7217">
        <w:t>Националној л</w:t>
      </w:r>
      <w:r w:rsidR="009559AB" w:rsidRPr="00BB7217">
        <w:t>исти стандарда интероперабилности</w:t>
      </w:r>
      <w:r w:rsidR="009559AB" w:rsidRPr="00BB7217">
        <w:rPr>
          <w:rStyle w:val="FootnoteReference"/>
        </w:rPr>
        <w:footnoteReference w:id="14"/>
      </w:r>
      <w:r w:rsidR="009559AB" w:rsidRPr="00BB7217">
        <w:t xml:space="preserve"> тј. у формату </w:t>
      </w:r>
      <w:proofErr w:type="spellStart"/>
      <w:r w:rsidR="009559AB" w:rsidRPr="00BB7217">
        <w:t>pdf</w:t>
      </w:r>
      <w:proofErr w:type="spellEnd"/>
      <w:r w:rsidR="009559AB" w:rsidRPr="00BB7217">
        <w:t xml:space="preserve">, </w:t>
      </w:r>
      <w:proofErr w:type="spellStart"/>
      <w:r w:rsidR="009559AB" w:rsidRPr="00BB7217">
        <w:t>odf</w:t>
      </w:r>
      <w:proofErr w:type="spellEnd"/>
      <w:r w:rsidR="009559AB" w:rsidRPr="00BB7217">
        <w:t xml:space="preserve"> или </w:t>
      </w:r>
      <w:proofErr w:type="spellStart"/>
      <w:r w:rsidR="009559AB" w:rsidRPr="00BB7217">
        <w:t>docx</w:t>
      </w:r>
      <w:proofErr w:type="spellEnd"/>
      <w:r w:rsidR="009559AB" w:rsidRPr="00BB7217">
        <w:t>.</w:t>
      </w:r>
      <w:r w:rsidRPr="00BB7217">
        <w:t xml:space="preserve"> </w:t>
      </w:r>
      <w:r w:rsidR="009559AB" w:rsidRPr="00BB7217">
        <w:t xml:space="preserve">Уколико се документ објављује у </w:t>
      </w:r>
      <w:proofErr w:type="spellStart"/>
      <w:r w:rsidR="009559AB" w:rsidRPr="00BB7217">
        <w:t>pdf</w:t>
      </w:r>
      <w:proofErr w:type="spellEnd"/>
      <w:r w:rsidR="009559AB" w:rsidRPr="00BB7217">
        <w:t xml:space="preserve"> формату потребно је да буде претражив, односно да је фајл генерисан из диг</w:t>
      </w:r>
      <w:r w:rsidR="00A015F2">
        <w:t>италног оригиналног формата а никако</w:t>
      </w:r>
      <w:r w:rsidR="009559AB" w:rsidRPr="00BB7217">
        <w:t xml:space="preserve"> </w:t>
      </w:r>
      <w:proofErr w:type="spellStart"/>
      <w:r w:rsidR="009559AB" w:rsidRPr="00BB7217">
        <w:t>скенирана</w:t>
      </w:r>
      <w:proofErr w:type="spellEnd"/>
      <w:r w:rsidR="009559AB" w:rsidRPr="00BB7217">
        <w:t xml:space="preserve"> слика документа.</w:t>
      </w:r>
    </w:p>
    <w:p w14:paraId="42A7F7A7" w14:textId="196C63F1" w:rsidR="00625BD8" w:rsidRPr="00BB7217" w:rsidRDefault="00625BD8" w:rsidP="00DF7C33">
      <w:pPr>
        <w:pStyle w:val="Heading3"/>
      </w:pPr>
      <w:bookmarkStart w:id="37" w:name="_Toc468269548"/>
      <w:bookmarkStart w:id="38" w:name="_Toc468553630"/>
      <w:r w:rsidRPr="00BB7217">
        <w:t>Планови рада</w:t>
      </w:r>
      <w:bookmarkEnd w:id="37"/>
      <w:bookmarkEnd w:id="38"/>
    </w:p>
    <w:p w14:paraId="45025573" w14:textId="2414F557" w:rsidR="00650D78" w:rsidRPr="00BB7217" w:rsidRDefault="00625BD8" w:rsidP="00797C47">
      <w:pPr>
        <w:pStyle w:val="Tekst"/>
      </w:pPr>
      <w:r w:rsidRPr="00BB7217">
        <w:t xml:space="preserve">Објављивање планова рада на интернет страни инспекције је дефинисано чланом  10 Закона о инспекцијском надзору. </w:t>
      </w:r>
      <w:r w:rsidR="00650D78" w:rsidRPr="00BB7217">
        <w:t xml:space="preserve">Објављују се </w:t>
      </w:r>
      <w:r w:rsidR="00650D78" w:rsidRPr="00BB7217">
        <w:rPr>
          <w:b/>
        </w:rPr>
        <w:t>стратешки</w:t>
      </w:r>
      <w:r w:rsidR="00650D78" w:rsidRPr="00BB7217">
        <w:t xml:space="preserve"> (вишегодишњи) и годишњи план инспекцијског надзора  као и оперативни (полугодишњи, тромесечни и месечни) планови инспекцијског надзора.</w:t>
      </w:r>
    </w:p>
    <w:p w14:paraId="66D83CCA" w14:textId="05E69B8E" w:rsidR="00625BD8" w:rsidRPr="00BB7217" w:rsidRDefault="00650D78" w:rsidP="00797C47">
      <w:pPr>
        <w:pStyle w:val="Tekst"/>
      </w:pPr>
      <w:r w:rsidRPr="00BB7217">
        <w:t xml:space="preserve">Поред објављених докумената са плановима рада, </w:t>
      </w:r>
      <w:r w:rsidR="00625BD8" w:rsidRPr="00BB7217">
        <w:t xml:space="preserve">потребно </w:t>
      </w:r>
      <w:r w:rsidRPr="00BB7217">
        <w:t xml:space="preserve">је редовно </w:t>
      </w:r>
      <w:r w:rsidR="00625BD8" w:rsidRPr="00BB7217">
        <w:t xml:space="preserve">објављивати следећа </w:t>
      </w:r>
      <w:r w:rsidRPr="00BB7217">
        <w:t>информације из</w:t>
      </w:r>
      <w:r w:rsidR="00625BD8" w:rsidRPr="00BB7217">
        <w:t xml:space="preserve"> </w:t>
      </w:r>
      <w:r w:rsidRPr="00BB7217">
        <w:t xml:space="preserve">оперативног </w:t>
      </w:r>
      <w:r w:rsidR="00625BD8" w:rsidRPr="00BB7217">
        <w:t>плана</w:t>
      </w:r>
      <w:r w:rsidRPr="00BB7217">
        <w:t xml:space="preserve"> за које се планира надзор</w:t>
      </w:r>
      <w:r w:rsidR="00625BD8" w:rsidRPr="00BB7217">
        <w:t>:</w:t>
      </w:r>
    </w:p>
    <w:p w14:paraId="5A6098AE" w14:textId="6B4EB2F5" w:rsidR="00534116" w:rsidRPr="00BB7217" w:rsidRDefault="00650D78" w:rsidP="00534116">
      <w:pPr>
        <w:pStyle w:val="ListParagraph"/>
      </w:pPr>
      <w:r w:rsidRPr="00BB7217">
        <w:t>Назив субјекта</w:t>
      </w:r>
    </w:p>
    <w:p w14:paraId="46CE3502" w14:textId="3B3DE4E9" w:rsidR="00534116" w:rsidRPr="00BB7217" w:rsidRDefault="00534116" w:rsidP="00534116">
      <w:pPr>
        <w:pStyle w:val="ListParagraph"/>
      </w:pPr>
      <w:r w:rsidRPr="00BB7217">
        <w:t>ПИБ</w:t>
      </w:r>
    </w:p>
    <w:p w14:paraId="6FD479D8" w14:textId="77777777" w:rsidR="00534116" w:rsidRPr="00BB7217" w:rsidRDefault="00534116" w:rsidP="00534116">
      <w:pPr>
        <w:pStyle w:val="ListParagraph"/>
      </w:pPr>
      <w:r w:rsidRPr="00BB7217">
        <w:t>Улица и број</w:t>
      </w:r>
    </w:p>
    <w:p w14:paraId="455357CB" w14:textId="77777777" w:rsidR="00534116" w:rsidRPr="00BB7217" w:rsidRDefault="00534116" w:rsidP="00534116">
      <w:pPr>
        <w:pStyle w:val="ListParagraph"/>
      </w:pPr>
      <w:r w:rsidRPr="00BB7217">
        <w:t>Место</w:t>
      </w:r>
    </w:p>
    <w:p w14:paraId="295BD832" w14:textId="620A480E" w:rsidR="00534116" w:rsidRPr="00BB7217" w:rsidRDefault="00534116" w:rsidP="00534116">
      <w:pPr>
        <w:pStyle w:val="ListParagraph"/>
      </w:pPr>
      <w:r w:rsidRPr="00BB7217">
        <w:t>Недеља у којој ће се вршити надзор</w:t>
      </w:r>
    </w:p>
    <w:p w14:paraId="3CE5E06B" w14:textId="2CA5AFE8" w:rsidR="00625BD8" w:rsidRPr="00BB7217" w:rsidRDefault="00625BD8" w:rsidP="00534116">
      <w:pPr>
        <w:pStyle w:val="Tekst"/>
      </w:pPr>
      <w:r w:rsidRPr="00BB7217">
        <w:t>Потребно је омогућити претрагу објављених планова по свим пољима. Планове који више нису актуелни не треба отклањати, већ је потребно да буду трајно доступни на интернет презентацији.</w:t>
      </w:r>
    </w:p>
    <w:p w14:paraId="703125F7" w14:textId="10959352" w:rsidR="00534116" w:rsidRPr="00BB7217" w:rsidRDefault="00625BD8" w:rsidP="0075163C">
      <w:pPr>
        <w:pStyle w:val="Tekst"/>
      </w:pPr>
      <w:r w:rsidRPr="00BB7217">
        <w:t>Податке из плана такође објави</w:t>
      </w:r>
      <w:r w:rsidR="00534116" w:rsidRPr="00BB7217">
        <w:t>ти у формату отворених података, у облику табеле, са наведеним коло</w:t>
      </w:r>
      <w:r w:rsidR="006549BE" w:rsidRPr="00BB7217">
        <w:t xml:space="preserve">нама. Формат фајла који се објављује треба </w:t>
      </w:r>
      <w:r w:rsidR="0075163C" w:rsidRPr="00BB7217">
        <w:t xml:space="preserve">да буде </w:t>
      </w:r>
      <w:r w:rsidR="006549BE" w:rsidRPr="00BB7217">
        <w:t xml:space="preserve">CSV и/или JSON.  </w:t>
      </w:r>
      <w:r w:rsidR="0075163C" w:rsidRPr="00BB7217">
        <w:t>И овде важи да не треба уклањати фајлове који нису актуелни већ их треба учинити трајно доступним.</w:t>
      </w:r>
    </w:p>
    <w:p w14:paraId="24811B94" w14:textId="6251DE8C" w:rsidR="00F93CDB" w:rsidRPr="00BB7217" w:rsidRDefault="00F93CDB" w:rsidP="00610EA9">
      <w:pPr>
        <w:pStyle w:val="Heading3"/>
      </w:pPr>
      <w:bookmarkStart w:id="39" w:name="_Toc468269549"/>
      <w:bookmarkStart w:id="40" w:name="_Toc468553631"/>
      <w:r w:rsidRPr="00BB7217">
        <w:t>Контролне листе</w:t>
      </w:r>
      <w:bookmarkEnd w:id="39"/>
      <w:bookmarkEnd w:id="40"/>
    </w:p>
    <w:p w14:paraId="63FA6082" w14:textId="2081455B" w:rsidR="00022331" w:rsidRPr="00BB7217" w:rsidRDefault="00022331" w:rsidP="00022331">
      <w:pPr>
        <w:pStyle w:val="Tekst"/>
      </w:pPr>
      <w:r w:rsidRPr="00BB7217">
        <w:t xml:space="preserve">На интернет страници са контролним листама потребно је дати кратко упутство за коришћење контролних листа и омогућити кориснику преузимање свих релевантних контролних листа. Уколико инспекција има </w:t>
      </w:r>
      <w:r w:rsidR="00A12EE3" w:rsidRPr="00BB7217">
        <w:t>обимну надлежност и велики</w:t>
      </w:r>
      <w:r w:rsidRPr="00BB7217">
        <w:t xml:space="preserve"> број </w:t>
      </w:r>
      <w:r w:rsidR="00A12EE3" w:rsidRPr="00BB7217">
        <w:t>контролних листа, ради прегледности препоручује се груписање листа како би посетилац једноставније пронашао које контролне листе су релевантне за област којом се бави.</w:t>
      </w:r>
    </w:p>
    <w:p w14:paraId="79CC2818" w14:textId="191B9712" w:rsidR="005367E3" w:rsidRPr="00BB7217" w:rsidRDefault="00F93CDB" w:rsidP="005367E3">
      <w:pPr>
        <w:pStyle w:val="Tekst"/>
      </w:pPr>
      <w:r w:rsidRPr="00BB7217">
        <w:t xml:space="preserve">Контролне листе </w:t>
      </w:r>
      <w:r w:rsidR="00A12EE3" w:rsidRPr="00BB7217">
        <w:t xml:space="preserve">је потребно креирати и објавити </w:t>
      </w:r>
      <w:r w:rsidRPr="00BB7217">
        <w:t>у облику кој</w:t>
      </w:r>
      <w:r w:rsidR="007F748B" w:rsidRPr="00BB7217">
        <w:t xml:space="preserve">и се може рачунарски попуњавати. Потребно је да у току попуњавања образац аутоматски рачуна број бодова. Такође је потребно да се рачунарски попуњене контролне листе могу даље аутоматски обрађивати. </w:t>
      </w:r>
      <w:r w:rsidR="005367E3" w:rsidRPr="00BB7217">
        <w:t xml:space="preserve">Дакле, контролне листе је потребно креирати </w:t>
      </w:r>
      <w:r w:rsidR="00B40E03" w:rsidRPr="00BB7217">
        <w:t>и објављивати у табеларном облику.</w:t>
      </w:r>
    </w:p>
    <w:p w14:paraId="2060511F" w14:textId="57D21FE2" w:rsidR="00022331" w:rsidRPr="00BB7217" w:rsidRDefault="007F748B" w:rsidP="00A12EE3">
      <w:pPr>
        <w:pStyle w:val="Tekst"/>
      </w:pPr>
      <w:r w:rsidRPr="00BB7217">
        <w:t xml:space="preserve">Да би се ови захтеви испунили у пракси, препорука је да се </w:t>
      </w:r>
      <w:r w:rsidR="00B40E03" w:rsidRPr="00BB7217">
        <w:t xml:space="preserve">за облик фајлова </w:t>
      </w:r>
      <w:r w:rsidRPr="00BB7217">
        <w:t xml:space="preserve">користи </w:t>
      </w:r>
      <w:r w:rsidR="00A64B85" w:rsidRPr="00BB7217">
        <w:t xml:space="preserve">стандард препоручен од стране Дирекције за електронску управу, дат у </w:t>
      </w:r>
      <w:r w:rsidR="005367E3" w:rsidRPr="00BB7217">
        <w:t>Националној л</w:t>
      </w:r>
      <w:r w:rsidR="00A64B85" w:rsidRPr="00BB7217">
        <w:t>исти стандард</w:t>
      </w:r>
      <w:r w:rsidR="005367E3" w:rsidRPr="00BB7217">
        <w:t>а</w:t>
      </w:r>
      <w:r w:rsidR="00A64B85" w:rsidRPr="00BB7217">
        <w:t xml:space="preserve"> интероперабилности</w:t>
      </w:r>
      <w:r w:rsidR="00B40E03" w:rsidRPr="00BB7217">
        <w:rPr>
          <w:rStyle w:val="FootnoteReference"/>
        </w:rPr>
        <w:footnoteReference w:id="15"/>
      </w:r>
      <w:r w:rsidR="00A64B85" w:rsidRPr="00BB7217">
        <w:t>.</w:t>
      </w:r>
      <w:r w:rsidR="00B40E03" w:rsidRPr="00BB7217">
        <w:t xml:space="preserve"> За табеларне податке то је .</w:t>
      </w:r>
      <w:proofErr w:type="spellStart"/>
      <w:r w:rsidR="00B40E03" w:rsidRPr="00BB7217">
        <w:t>xlsx</w:t>
      </w:r>
      <w:proofErr w:type="spellEnd"/>
      <w:r w:rsidR="00B40E03" w:rsidRPr="00BB7217">
        <w:t xml:space="preserve"> или ODF формат. Овако дате контролне листе могу да олакшају кориснику употребу коришћењем </w:t>
      </w:r>
      <w:proofErr w:type="spellStart"/>
      <w:r w:rsidR="00B40E03" w:rsidRPr="00BB7217">
        <w:t>шифарника</w:t>
      </w:r>
      <w:proofErr w:type="spellEnd"/>
      <w:r w:rsidR="00B40E03" w:rsidRPr="00BB7217">
        <w:t xml:space="preserve">, аутоматским бодовањем </w:t>
      </w:r>
      <w:r w:rsidR="00022331" w:rsidRPr="00BB7217">
        <w:t xml:space="preserve">по елементима за проверу </w:t>
      </w:r>
      <w:r w:rsidR="00B40E03" w:rsidRPr="00BB7217">
        <w:t>и одређивањем степена ризика.</w:t>
      </w:r>
    </w:p>
    <w:p w14:paraId="331DF6BF" w14:textId="44A95230" w:rsidR="00A12EE3" w:rsidRPr="00BB7217" w:rsidRDefault="00610EA9" w:rsidP="00A12EE3">
      <w:pPr>
        <w:pStyle w:val="Tekst"/>
      </w:pPr>
      <w:r>
        <w:lastRenderedPageBreak/>
        <w:t>П</w:t>
      </w:r>
      <w:r w:rsidR="00A12EE3" w:rsidRPr="00BB7217">
        <w:t>оред елемената надзора</w:t>
      </w:r>
      <w:r>
        <w:t xml:space="preserve"> који су специфични за сваку контролну листу, постоје и за</w:t>
      </w:r>
      <w:r w:rsidR="00560B2F">
        <w:t>једнички елементи које треба да садржи контролна листа.</w:t>
      </w:r>
      <w:r w:rsidR="00A12EE3" w:rsidRPr="00BB7217">
        <w:t xml:space="preserve"> Т</w:t>
      </w:r>
      <w:r w:rsidR="00560B2F">
        <w:t>и подаци се могу поставити на одвојен лист у електронској форми и то</w:t>
      </w:r>
      <w:r w:rsidR="00A12EE3" w:rsidRPr="00BB7217">
        <w:t xml:space="preserve"> </w:t>
      </w:r>
      <w:r w:rsidR="00560B2F">
        <w:t>су</w:t>
      </w:r>
      <w:r w:rsidR="00A12EE3" w:rsidRPr="00BB7217">
        <w:t>:</w:t>
      </w:r>
    </w:p>
    <w:p w14:paraId="044F5123" w14:textId="7C016248" w:rsidR="00A12EE3" w:rsidRPr="00BB7217" w:rsidRDefault="00A12EE3" w:rsidP="00A12EE3">
      <w:pPr>
        <w:pStyle w:val="ListParagraph"/>
      </w:pPr>
      <w:r w:rsidRPr="00BB7217">
        <w:t>Подаци о инспекцији</w:t>
      </w:r>
    </w:p>
    <w:p w14:paraId="01E24A30" w14:textId="77777777" w:rsidR="00A12EE3" w:rsidRPr="00BB7217" w:rsidRDefault="00A12EE3" w:rsidP="00A12EE3">
      <w:pPr>
        <w:pStyle w:val="ListParagraph"/>
        <w:numPr>
          <w:ilvl w:val="1"/>
          <w:numId w:val="6"/>
        </w:numPr>
      </w:pPr>
      <w:r w:rsidRPr="00BB7217">
        <w:t>Број предмета</w:t>
      </w:r>
    </w:p>
    <w:p w14:paraId="6144CFC1" w14:textId="77777777" w:rsidR="00A12EE3" w:rsidRPr="00BB7217" w:rsidRDefault="00A12EE3" w:rsidP="00A12EE3">
      <w:pPr>
        <w:pStyle w:val="ListParagraph"/>
        <w:numPr>
          <w:ilvl w:val="1"/>
          <w:numId w:val="6"/>
        </w:numPr>
      </w:pPr>
      <w:r w:rsidRPr="00BB7217">
        <w:t>Датум инспекције</w:t>
      </w:r>
    </w:p>
    <w:p w14:paraId="27E3016C" w14:textId="77777777" w:rsidR="00A12EE3" w:rsidRPr="00BB7217" w:rsidRDefault="00A12EE3" w:rsidP="00A12EE3">
      <w:pPr>
        <w:pStyle w:val="ListParagraph"/>
        <w:numPr>
          <w:ilvl w:val="1"/>
          <w:numId w:val="6"/>
        </w:numPr>
      </w:pPr>
      <w:r w:rsidRPr="00BB7217">
        <w:t>Започето у сати</w:t>
      </w:r>
    </w:p>
    <w:p w14:paraId="4ABA62B4" w14:textId="77777777" w:rsidR="00A12EE3" w:rsidRPr="00BB7217" w:rsidRDefault="00A12EE3" w:rsidP="00A12EE3">
      <w:pPr>
        <w:pStyle w:val="ListParagraph"/>
        <w:numPr>
          <w:ilvl w:val="1"/>
          <w:numId w:val="6"/>
        </w:numPr>
      </w:pPr>
      <w:r w:rsidRPr="00BB7217">
        <w:t>Завршено у сати</w:t>
      </w:r>
    </w:p>
    <w:p w14:paraId="6B695E64" w14:textId="77777777" w:rsidR="00A12EE3" w:rsidRPr="00BB7217" w:rsidRDefault="00A12EE3" w:rsidP="00A12EE3">
      <w:pPr>
        <w:pStyle w:val="ListParagraph"/>
        <w:numPr>
          <w:ilvl w:val="1"/>
          <w:numId w:val="6"/>
        </w:numPr>
      </w:pPr>
      <w:r w:rsidRPr="00BB7217">
        <w:t>Датум завршетка прегледа</w:t>
      </w:r>
    </w:p>
    <w:p w14:paraId="44571BB6" w14:textId="77777777" w:rsidR="00A12EE3" w:rsidRPr="00BB7217" w:rsidRDefault="00A12EE3" w:rsidP="00A12EE3">
      <w:pPr>
        <w:pStyle w:val="ListParagraph"/>
        <w:numPr>
          <w:ilvl w:val="1"/>
          <w:numId w:val="6"/>
        </w:numPr>
      </w:pPr>
      <w:r w:rsidRPr="00BB7217">
        <w:t xml:space="preserve">Облик надзора </w:t>
      </w:r>
    </w:p>
    <w:p w14:paraId="5CCEF8D8" w14:textId="362E626E" w:rsidR="00A12EE3" w:rsidRPr="00BB7217" w:rsidRDefault="00A12EE3" w:rsidP="00A12EE3">
      <w:pPr>
        <w:pStyle w:val="ListParagraph"/>
        <w:numPr>
          <w:ilvl w:val="1"/>
          <w:numId w:val="6"/>
        </w:numPr>
      </w:pPr>
      <w:r w:rsidRPr="00BB7217">
        <w:t>Врста надзора</w:t>
      </w:r>
    </w:p>
    <w:p w14:paraId="5C246B2D" w14:textId="55A01F3B" w:rsidR="00A12EE3" w:rsidRPr="00BB7217" w:rsidRDefault="00A12EE3" w:rsidP="00A12EE3">
      <w:pPr>
        <w:pStyle w:val="ListParagraph"/>
      </w:pPr>
      <w:r w:rsidRPr="00BB7217">
        <w:t>Правно лице/предузетник/физичко лице</w:t>
      </w:r>
    </w:p>
    <w:p w14:paraId="7655264E" w14:textId="77777777" w:rsidR="00A12EE3" w:rsidRPr="00BB7217" w:rsidRDefault="00A12EE3" w:rsidP="00A12EE3">
      <w:pPr>
        <w:pStyle w:val="ListParagraph"/>
        <w:numPr>
          <w:ilvl w:val="1"/>
          <w:numId w:val="6"/>
        </w:numPr>
      </w:pPr>
      <w:r w:rsidRPr="00BB7217">
        <w:t>Пуно пословно име/име</w:t>
      </w:r>
    </w:p>
    <w:p w14:paraId="3BAB7147" w14:textId="77777777" w:rsidR="00A12EE3" w:rsidRPr="00BB7217" w:rsidRDefault="00A12EE3" w:rsidP="00A12EE3">
      <w:pPr>
        <w:pStyle w:val="ListParagraph"/>
        <w:numPr>
          <w:ilvl w:val="1"/>
          <w:numId w:val="6"/>
        </w:numPr>
      </w:pPr>
      <w:r w:rsidRPr="00BB7217">
        <w:t>Место</w:t>
      </w:r>
    </w:p>
    <w:p w14:paraId="3B257CD9" w14:textId="77777777" w:rsidR="00A12EE3" w:rsidRPr="00BB7217" w:rsidRDefault="00A12EE3" w:rsidP="00A12EE3">
      <w:pPr>
        <w:pStyle w:val="ListParagraph"/>
        <w:numPr>
          <w:ilvl w:val="1"/>
          <w:numId w:val="6"/>
        </w:numPr>
      </w:pPr>
      <w:r w:rsidRPr="00BB7217">
        <w:t>Поштански број</w:t>
      </w:r>
    </w:p>
    <w:p w14:paraId="28335252" w14:textId="77777777" w:rsidR="00A12EE3" w:rsidRPr="00BB7217" w:rsidRDefault="00A12EE3" w:rsidP="00A12EE3">
      <w:pPr>
        <w:pStyle w:val="ListParagraph"/>
        <w:numPr>
          <w:ilvl w:val="1"/>
          <w:numId w:val="6"/>
        </w:numPr>
      </w:pPr>
      <w:r w:rsidRPr="00BB7217">
        <w:t>Адреса</w:t>
      </w:r>
    </w:p>
    <w:p w14:paraId="53E9E430" w14:textId="77777777" w:rsidR="00A12EE3" w:rsidRPr="00BB7217" w:rsidRDefault="00A12EE3" w:rsidP="00A12EE3">
      <w:pPr>
        <w:pStyle w:val="ListParagraph"/>
        <w:numPr>
          <w:ilvl w:val="1"/>
          <w:numId w:val="6"/>
        </w:numPr>
      </w:pPr>
      <w:r w:rsidRPr="00BB7217">
        <w:t>Општина</w:t>
      </w:r>
    </w:p>
    <w:p w14:paraId="1666DF10" w14:textId="74CA72DF" w:rsidR="00A12EE3" w:rsidRPr="00BB7217" w:rsidRDefault="00A12EE3" w:rsidP="00A12EE3">
      <w:pPr>
        <w:pStyle w:val="ListParagraph"/>
        <w:numPr>
          <w:ilvl w:val="1"/>
          <w:numId w:val="6"/>
        </w:numPr>
      </w:pPr>
      <w:r w:rsidRPr="00BB7217">
        <w:t>Назив/ Шифра делатности</w:t>
      </w:r>
    </w:p>
    <w:p w14:paraId="1A6115A6" w14:textId="77777777" w:rsidR="00A12EE3" w:rsidRPr="00BB7217" w:rsidRDefault="00A12EE3" w:rsidP="00A12EE3">
      <w:pPr>
        <w:pStyle w:val="ListParagraph"/>
        <w:numPr>
          <w:ilvl w:val="1"/>
          <w:numId w:val="6"/>
        </w:numPr>
      </w:pPr>
      <w:r w:rsidRPr="00BB7217">
        <w:t>ПИБ</w:t>
      </w:r>
    </w:p>
    <w:p w14:paraId="198840D9" w14:textId="77777777" w:rsidR="00A12EE3" w:rsidRPr="00BB7217" w:rsidRDefault="00A12EE3" w:rsidP="00A12EE3">
      <w:pPr>
        <w:pStyle w:val="ListParagraph"/>
        <w:numPr>
          <w:ilvl w:val="1"/>
          <w:numId w:val="6"/>
        </w:numPr>
      </w:pPr>
      <w:r w:rsidRPr="00BB7217">
        <w:t>Матични број/ЈМБГ</w:t>
      </w:r>
    </w:p>
    <w:p w14:paraId="2C82F63F" w14:textId="55D66FC7" w:rsidR="00A12EE3" w:rsidRPr="00BB7217" w:rsidRDefault="00A12EE3" w:rsidP="00A12EE3">
      <w:pPr>
        <w:pStyle w:val="ListParagraph"/>
        <w:numPr>
          <w:ilvl w:val="1"/>
          <w:numId w:val="6"/>
        </w:numPr>
      </w:pPr>
      <w:r w:rsidRPr="00BB7217">
        <w:t>Контакт</w:t>
      </w:r>
    </w:p>
    <w:p w14:paraId="563C6395" w14:textId="40DD619B" w:rsidR="00A12EE3" w:rsidRPr="00BB7217" w:rsidRDefault="00A12EE3" w:rsidP="00A12EE3">
      <w:pPr>
        <w:pStyle w:val="ListParagraph"/>
      </w:pPr>
      <w:r w:rsidRPr="00BB7217">
        <w:t>Подаци о одговорном лицу</w:t>
      </w:r>
    </w:p>
    <w:p w14:paraId="74DC4203" w14:textId="0C6F14B1" w:rsidR="00A12EE3" w:rsidRPr="00BB7217" w:rsidRDefault="00A12EE3" w:rsidP="00A12EE3">
      <w:pPr>
        <w:pStyle w:val="ListParagraph"/>
      </w:pPr>
      <w:r w:rsidRPr="00BB7217">
        <w:t>Инспекцији присутан</w:t>
      </w:r>
    </w:p>
    <w:p w14:paraId="57B1B49E" w14:textId="77777777" w:rsidR="00A12EE3" w:rsidRPr="00BB7217" w:rsidRDefault="00A12EE3" w:rsidP="00A12EE3"/>
    <w:p w14:paraId="36F4468A" w14:textId="2955F273" w:rsidR="004B78F3" w:rsidRPr="00BB7217" w:rsidRDefault="004B78F3" w:rsidP="00DF7C33">
      <w:pPr>
        <w:pStyle w:val="Heading3"/>
      </w:pPr>
      <w:bookmarkStart w:id="41" w:name="_Toc468269550"/>
      <w:bookmarkStart w:id="42" w:name="_Toc468553632"/>
      <w:r w:rsidRPr="00BB7217">
        <w:t>Захтеви</w:t>
      </w:r>
      <w:bookmarkEnd w:id="41"/>
      <w:bookmarkEnd w:id="42"/>
    </w:p>
    <w:p w14:paraId="546A8FB3" w14:textId="7AE4FD46" w:rsidR="00A536ED" w:rsidRDefault="00A536ED" w:rsidP="008E5E60">
      <w:pPr>
        <w:pStyle w:val="Tekst"/>
      </w:pPr>
      <w:r>
        <w:t>Кориснику је потребно предочити на које начине може да општи са инспекцијским органом, при чему је потребно обезбедити и могућност електронског општења.</w:t>
      </w:r>
      <w:r w:rsidR="00B16849">
        <w:t xml:space="preserve"> Минимум за испуњавање овог критеријума је комуникација путем електронске поште – </w:t>
      </w:r>
      <w:r w:rsidR="00B16849">
        <w:rPr>
          <w:lang w:val="en-US"/>
        </w:rPr>
        <w:t>e-mail</w:t>
      </w:r>
      <w:r w:rsidR="00B16849">
        <w:t>.</w:t>
      </w:r>
    </w:p>
    <w:p w14:paraId="5E752EF8" w14:textId="77777777" w:rsidR="00D739D9" w:rsidRPr="00BB7217" w:rsidRDefault="004B78F3" w:rsidP="008E5E60">
      <w:pPr>
        <w:pStyle w:val="Tekst"/>
      </w:pPr>
      <w:r w:rsidRPr="00BB7217">
        <w:t>Омогућити кориснику да преузме захтеве који се могу упутити инспекцијс</w:t>
      </w:r>
      <w:r w:rsidR="00D739D9" w:rsidRPr="00BB7217">
        <w:t xml:space="preserve">ком органу, у форми тако да могу једноставно да се попуњавају на рачунару и одштампају. </w:t>
      </w:r>
    </w:p>
    <w:p w14:paraId="3301A34E" w14:textId="5097BCEE" w:rsidR="004B78F3" w:rsidRPr="00BB7217" w:rsidRDefault="00D739D9" w:rsidP="008E5E60">
      <w:pPr>
        <w:pStyle w:val="Tekst"/>
      </w:pPr>
      <w:r w:rsidRPr="00BB7217">
        <w:t xml:space="preserve">Уз сваки захтев обезбедити информације о таксама поступка, односно административним таксама. Поред износа таксе обезбедити информације о броју </w:t>
      </w:r>
      <w:proofErr w:type="spellStart"/>
      <w:r w:rsidRPr="00BB7217">
        <w:t>жиро</w:t>
      </w:r>
      <w:proofErr w:type="spellEnd"/>
      <w:r w:rsidRPr="00BB7217">
        <w:t xml:space="preserve"> рачуна, сврси уплате, примаоцу, позиву на број, односно свим информацијама потребним за извршење уплате, без доласка и даљег информисања код надлежног инспекцијског органа.</w:t>
      </w:r>
    </w:p>
    <w:p w14:paraId="32DCC50F" w14:textId="387FE037" w:rsidR="008E5E60" w:rsidRPr="00CD5D18" w:rsidRDefault="00BB7217" w:rsidP="00CD5D18">
      <w:pPr>
        <w:pStyle w:val="Tekst"/>
        <w:rPr>
          <w:lang w:val="hr-HR"/>
        </w:rPr>
      </w:pPr>
      <w:r w:rsidRPr="00BB7217">
        <w:t xml:space="preserve">За подношење захтева у облику електронског </w:t>
      </w:r>
      <w:r>
        <w:t>документа</w:t>
      </w:r>
      <w:r w:rsidR="00A536ED">
        <w:t xml:space="preserve"> постоји развијена национална платформа, и то је портал </w:t>
      </w:r>
      <w:proofErr w:type="spellStart"/>
      <w:r w:rsidR="00A536ED">
        <w:t>еУправа</w:t>
      </w:r>
      <w:proofErr w:type="spellEnd"/>
      <w:r w:rsidR="00A536ED">
        <w:t>. Алтернатива наведеном у овом параграфу је објављивањем услуга</w:t>
      </w:r>
      <w:r>
        <w:t xml:space="preserve"> на Националном порталу. </w:t>
      </w:r>
      <w:r w:rsidR="00A536ED">
        <w:t xml:space="preserve">Уколико се услуге објаве на националном порталу, довољно је објавити линк који води ка објављеној услузи, односно услугама. </w:t>
      </w:r>
      <w:r>
        <w:t>Објављивање услуге на националном порталу је бесплатно</w:t>
      </w:r>
      <w:r w:rsidR="00EE2CA3">
        <w:rPr>
          <w:lang w:val="hr-HR"/>
        </w:rPr>
        <w:t>.</w:t>
      </w:r>
    </w:p>
    <w:p w14:paraId="1AF87FB4" w14:textId="7CEA8EBA" w:rsidR="00F841FC" w:rsidRPr="00BB7217" w:rsidRDefault="00F841FC" w:rsidP="00DF7C33">
      <w:pPr>
        <w:pStyle w:val="Heading3"/>
      </w:pPr>
      <w:bookmarkStart w:id="43" w:name="_Toc468269551"/>
      <w:bookmarkStart w:id="44" w:name="_Toc468553633"/>
      <w:r w:rsidRPr="00BB7217">
        <w:t>Контакт</w:t>
      </w:r>
      <w:bookmarkEnd w:id="43"/>
      <w:bookmarkEnd w:id="44"/>
    </w:p>
    <w:p w14:paraId="138393CB" w14:textId="53B80A0F" w:rsidR="00F841FC" w:rsidRPr="00BB7217" w:rsidRDefault="00F841FC" w:rsidP="00662511">
      <w:pPr>
        <w:pStyle w:val="Tekst"/>
      </w:pPr>
      <w:r w:rsidRPr="00BB7217">
        <w:t>За седиште</w:t>
      </w:r>
      <w:r w:rsidR="003841B2" w:rsidRPr="00BB7217">
        <w:t xml:space="preserve"> инспекције и за орган који врши инспекцијски надзор на територији аутономне покрајине</w:t>
      </w:r>
      <w:r w:rsidRPr="00BB7217">
        <w:t xml:space="preserve"> и јединице локалне самоуправе објавити следеће податке</w:t>
      </w:r>
    </w:p>
    <w:p w14:paraId="688978C2" w14:textId="414F46B9" w:rsidR="00F841FC" w:rsidRPr="00BB7217" w:rsidRDefault="00F841FC" w:rsidP="00F67CEC">
      <w:pPr>
        <w:pStyle w:val="ListParagraph"/>
        <w:numPr>
          <w:ilvl w:val="0"/>
          <w:numId w:val="8"/>
        </w:numPr>
      </w:pPr>
      <w:r w:rsidRPr="00BB7217">
        <w:t>Адреса</w:t>
      </w:r>
    </w:p>
    <w:p w14:paraId="285F0EA1" w14:textId="378151A0" w:rsidR="00F841FC" w:rsidRPr="00BB7217" w:rsidRDefault="00F841FC" w:rsidP="00F67CEC">
      <w:pPr>
        <w:pStyle w:val="ListParagraph"/>
        <w:numPr>
          <w:ilvl w:val="0"/>
          <w:numId w:val="8"/>
        </w:numPr>
      </w:pPr>
      <w:r w:rsidRPr="00BB7217">
        <w:t>Бројеви телефона</w:t>
      </w:r>
    </w:p>
    <w:p w14:paraId="011FAECB" w14:textId="366B6527" w:rsidR="00F841FC" w:rsidRPr="00BB7217" w:rsidRDefault="00F841FC" w:rsidP="00F67CEC">
      <w:pPr>
        <w:pStyle w:val="ListParagraph"/>
        <w:numPr>
          <w:ilvl w:val="0"/>
          <w:numId w:val="8"/>
        </w:numPr>
      </w:pPr>
      <w:r w:rsidRPr="00BB7217">
        <w:lastRenderedPageBreak/>
        <w:t>E-</w:t>
      </w:r>
      <w:proofErr w:type="spellStart"/>
      <w:r w:rsidRPr="00BB7217">
        <w:t>mail</w:t>
      </w:r>
      <w:proofErr w:type="spellEnd"/>
    </w:p>
    <w:p w14:paraId="1958EBC5" w14:textId="2E86305A" w:rsidR="00F841FC" w:rsidRPr="00BB7217" w:rsidRDefault="00F841FC" w:rsidP="00F67CEC">
      <w:pPr>
        <w:pStyle w:val="ListParagraph"/>
        <w:numPr>
          <w:ilvl w:val="0"/>
          <w:numId w:val="8"/>
        </w:numPr>
      </w:pPr>
      <w:r w:rsidRPr="00BB7217">
        <w:t xml:space="preserve">Руководилац органа (не постоји обавеза законска али </w:t>
      </w:r>
      <w:r w:rsidR="00A015F2">
        <w:t>је добра пракса</w:t>
      </w:r>
      <w:r w:rsidRPr="00BB7217">
        <w:t>)</w:t>
      </w:r>
    </w:p>
    <w:p w14:paraId="744C5F03" w14:textId="24DD0FF8" w:rsidR="00F841FC" w:rsidRPr="00BB7217" w:rsidRDefault="00F841FC" w:rsidP="00662511">
      <w:pPr>
        <w:pStyle w:val="Tekst"/>
      </w:pPr>
      <w:r w:rsidRPr="00BB7217">
        <w:t>Уколико се дају и адресе контакт особа, треба их одвојити од генеричких адреса за комуникацију са странкама (</w:t>
      </w:r>
      <w:hyperlink r:id="rId15" w:history="1">
        <w:r w:rsidRPr="00BB7217">
          <w:rPr>
            <w:rStyle w:val="Hyperlink"/>
          </w:rPr>
          <w:t>office@inspekcija.gov.rs</w:t>
        </w:r>
      </w:hyperlink>
      <w:r w:rsidRPr="00BB7217">
        <w:t xml:space="preserve"> , </w:t>
      </w:r>
      <w:hyperlink r:id="rId16" w:history="1">
        <w:r w:rsidRPr="00BB7217">
          <w:rPr>
            <w:rStyle w:val="Hyperlink"/>
          </w:rPr>
          <w:t>info@inspekcija.gov.rs</w:t>
        </w:r>
      </w:hyperlink>
      <w:r w:rsidRPr="00BB7217">
        <w:t xml:space="preserve"> и сл.)</w:t>
      </w:r>
    </w:p>
    <w:p w14:paraId="19BC5E23" w14:textId="775AF922" w:rsidR="00F841FC" w:rsidRPr="00BB7217" w:rsidRDefault="00F841FC" w:rsidP="00662511">
      <w:pPr>
        <w:pStyle w:val="Tekst"/>
      </w:pPr>
      <w:r w:rsidRPr="00BB7217">
        <w:t>За веће целине објавити њихове контакт податке.</w:t>
      </w:r>
      <w:r w:rsidR="00662511">
        <w:t xml:space="preserve"> </w:t>
      </w:r>
      <w:r w:rsidRPr="00BB7217">
        <w:t>Сви контакт подаци се налазе у овој секцији.</w:t>
      </w:r>
    </w:p>
    <w:p w14:paraId="303EBD27" w14:textId="34254E11" w:rsidR="00027534" w:rsidRPr="00BB7217" w:rsidRDefault="00027534" w:rsidP="00DF7C33">
      <w:pPr>
        <w:pStyle w:val="Heading2"/>
      </w:pPr>
      <w:bookmarkStart w:id="45" w:name="_Toc468269552"/>
      <w:bookmarkStart w:id="46" w:name="_Toc468553634"/>
      <w:r w:rsidRPr="00BB7217">
        <w:t>Технички захтеви презентације</w:t>
      </w:r>
      <w:bookmarkEnd w:id="45"/>
      <w:bookmarkEnd w:id="46"/>
    </w:p>
    <w:p w14:paraId="71EB3E15" w14:textId="512B9DEC" w:rsidR="00027534" w:rsidRPr="00BB7217" w:rsidRDefault="00027534" w:rsidP="00662511">
      <w:pPr>
        <w:pStyle w:val="Tekst"/>
      </w:pPr>
      <w:r w:rsidRPr="00BB7217">
        <w:t xml:space="preserve">Најчешћи начин претраживања и долажења до информација просечног интернет корисника </w:t>
      </w:r>
      <w:r w:rsidR="00181A4D" w:rsidRPr="00BB7217">
        <w:t>јесте путем интернет претраживача</w:t>
      </w:r>
      <w:r w:rsidR="00EC4056" w:rsidRPr="00BB7217">
        <w:t>. Потребно је обезбедити добру видљивост презентације према интернет претраживачима. У наставку ће бити дате обавезне препоруке која презентација треба да задовољи.</w:t>
      </w:r>
    </w:p>
    <w:p w14:paraId="42DF6EFF" w14:textId="77777777" w:rsidR="00C77047" w:rsidRPr="00BB7217" w:rsidRDefault="00C77047" w:rsidP="00DF7C33">
      <w:pPr>
        <w:pStyle w:val="Heading3"/>
      </w:pPr>
      <w:bookmarkStart w:id="47" w:name="_Toc468269553"/>
      <w:bookmarkStart w:id="48" w:name="_Toc468553635"/>
      <w:r w:rsidRPr="00BB7217">
        <w:t>Писмо</w:t>
      </w:r>
      <w:bookmarkEnd w:id="47"/>
      <w:bookmarkEnd w:id="48"/>
    </w:p>
    <w:p w14:paraId="145A6D18" w14:textId="77777777" w:rsidR="007A1CDB" w:rsidRDefault="007A1CDB" w:rsidP="007A1CDB">
      <w:pPr>
        <w:pStyle w:val="Tekst"/>
      </w:pPr>
      <w:r>
        <w:t>Устав Србије у члану 10 прописује српски језик и ћирилично писмо за службену употребу. Из тог разлога је обавезно да презентација буде на ћириличном писму</w:t>
      </w:r>
      <w:r w:rsidR="00C77047" w:rsidRPr="00BB7217">
        <w:t xml:space="preserve">. </w:t>
      </w:r>
    </w:p>
    <w:p w14:paraId="4E9162F7" w14:textId="5BB9DA7D" w:rsidR="00C77047" w:rsidRPr="00BB7217" w:rsidRDefault="007A1CDB" w:rsidP="007A1CDB">
      <w:pPr>
        <w:pStyle w:val="Tekst"/>
        <w:rPr>
          <w:b/>
        </w:rPr>
      </w:pPr>
      <w:r>
        <w:t xml:space="preserve">Члан 10 Закона о службеној употреби </w:t>
      </w:r>
      <w:r w:rsidR="0051666C">
        <w:t>језика и пи</w:t>
      </w:r>
      <w:r>
        <w:t xml:space="preserve">сма </w:t>
      </w:r>
      <w:r w:rsidR="0051666C">
        <w:t>предвиђа да текст може бити и на латиничном писму, поред ћириличног. Уколико се обезбеђује ова функционалност, потребно је да постоји могућност избора писма на свакој интернет страници која се приказује и да након избора писма оно остаје изабрана опција на другим страницама презентације инспекцијске службе.</w:t>
      </w:r>
    </w:p>
    <w:p w14:paraId="30BA52B1" w14:textId="3249F732" w:rsidR="00C77047" w:rsidRPr="00BB7217" w:rsidRDefault="00C77047" w:rsidP="00DF7C33">
      <w:pPr>
        <w:pStyle w:val="Heading3"/>
      </w:pPr>
      <w:bookmarkStart w:id="49" w:name="_Toc468269554"/>
      <w:bookmarkStart w:id="50" w:name="_Toc468553636"/>
      <w:r w:rsidRPr="00BB7217">
        <w:t>Стандарди</w:t>
      </w:r>
      <w:bookmarkEnd w:id="49"/>
      <w:bookmarkEnd w:id="50"/>
    </w:p>
    <w:p w14:paraId="5BE2EF06" w14:textId="6044B2C6" w:rsidR="00B71E78" w:rsidRPr="00BB7217" w:rsidRDefault="00C77047" w:rsidP="00E27CDE">
      <w:pPr>
        <w:pStyle w:val="Tekst"/>
      </w:pPr>
      <w:r w:rsidRPr="00BB7217">
        <w:t>Презентација треба да задовољава индустријске стандарде дате Листом стандарда интероперабилности</w:t>
      </w:r>
      <w:r w:rsidR="00D17F66" w:rsidRPr="00BB7217">
        <w:rPr>
          <w:rStyle w:val="FootnoteReference"/>
        </w:rPr>
        <w:footnoteReference w:id="16"/>
      </w:r>
      <w:r w:rsidR="00D17F66" w:rsidRPr="00BB7217">
        <w:t xml:space="preserve"> </w:t>
      </w:r>
      <w:r w:rsidR="00A4385A" w:rsidRPr="00BB7217">
        <w:t xml:space="preserve">а нарочито да је у складу са актуелним HTML, XHTML, CSS отвореним стандардима. Ово је најједноставније проверити помоћу бесплатног W3 сервиса за </w:t>
      </w:r>
      <w:proofErr w:type="spellStart"/>
      <w:r w:rsidR="00A4385A" w:rsidRPr="00BB7217">
        <w:t>валидацију</w:t>
      </w:r>
      <w:proofErr w:type="spellEnd"/>
      <w:r w:rsidR="00A4385A" w:rsidRPr="00BB7217">
        <w:t>.</w:t>
      </w:r>
      <w:r w:rsidR="00D17F66" w:rsidRPr="00BB7217">
        <w:rPr>
          <w:rStyle w:val="FootnoteReference"/>
        </w:rPr>
        <w:footnoteReference w:id="17"/>
      </w:r>
      <w:r w:rsidR="00D17F66" w:rsidRPr="00BB7217">
        <w:t xml:space="preserve"> </w:t>
      </w:r>
      <w:r w:rsidR="00D17F66" w:rsidRPr="00BB7217">
        <w:rPr>
          <w:rStyle w:val="FootnoteReference"/>
        </w:rPr>
        <w:footnoteReference w:id="18"/>
      </w:r>
      <w:r w:rsidR="00D17F66" w:rsidRPr="00BB7217">
        <w:t xml:space="preserve"> </w:t>
      </w:r>
      <w:r w:rsidR="00A4385A" w:rsidRPr="00BB7217">
        <w:t>Испуњавање ових стандарда истовремено омогућава и бољу доступност интернет презентације особама са неким врстама инвалидитета.</w:t>
      </w:r>
    </w:p>
    <w:p w14:paraId="31D442CE" w14:textId="2B26F355" w:rsidR="00027534" w:rsidRPr="00BB7217" w:rsidRDefault="00FE6DC3" w:rsidP="00DF7C33">
      <w:pPr>
        <w:pStyle w:val="Heading3"/>
      </w:pPr>
      <w:bookmarkStart w:id="51" w:name="_Toc468269555"/>
      <w:bookmarkStart w:id="52" w:name="_Toc468553637"/>
      <w:r w:rsidRPr="00BB7217">
        <w:t>Препознатљивост</w:t>
      </w:r>
      <w:bookmarkEnd w:id="51"/>
      <w:bookmarkEnd w:id="52"/>
    </w:p>
    <w:p w14:paraId="6807A7A3" w14:textId="03699972" w:rsidR="00FE6DC3" w:rsidRPr="00BB7217" w:rsidRDefault="00A015F2" w:rsidP="00621351">
      <w:pPr>
        <w:pStyle w:val="Tekst"/>
      </w:pPr>
      <w:r>
        <w:t>Поред интернет адресе презентације која треба да буде на званичном Владином домену, к</w:t>
      </w:r>
      <w:r w:rsidR="00FE6DC3" w:rsidRPr="00BB7217">
        <w:t xml:space="preserve">ориснику већ на први поглед </w:t>
      </w:r>
      <w:r>
        <w:t xml:space="preserve">приликом посете </w:t>
      </w:r>
      <w:r w:rsidR="00FE6DC3" w:rsidRPr="00BB7217">
        <w:t>треба да је јасно да се налази на званичној презентацији.</w:t>
      </w:r>
      <w:r w:rsidR="00A329AC">
        <w:t xml:space="preserve"> </w:t>
      </w:r>
      <w:r>
        <w:t xml:space="preserve">То се обезбеђује </w:t>
      </w:r>
      <w:r w:rsidR="00621351">
        <w:t>препознатљив</w:t>
      </w:r>
      <w:r w:rsidR="00CC6A63">
        <w:t xml:space="preserve">им </w:t>
      </w:r>
      <w:r w:rsidR="00621351">
        <w:t>визуелни</w:t>
      </w:r>
      <w:r w:rsidR="00CC6A63">
        <w:t>м</w:t>
      </w:r>
      <w:r w:rsidR="00621351">
        <w:t xml:space="preserve"> идентитет</w:t>
      </w:r>
      <w:r w:rsidR="00CC6A63">
        <w:t>ом</w:t>
      </w:r>
      <w:r w:rsidR="00621351">
        <w:t>,</w:t>
      </w:r>
      <w:r w:rsidR="00CC6A63">
        <w:t xml:space="preserve"> који се креира према </w:t>
      </w:r>
      <w:r>
        <w:t>препорука</w:t>
      </w:r>
      <w:r w:rsidR="00CC6A63">
        <w:t>ма</w:t>
      </w:r>
      <w:r>
        <w:t xml:space="preserve"> датим у </w:t>
      </w:r>
      <w:r w:rsidR="00CC6A63">
        <w:t>секцији Графичко решење - Смернице</w:t>
      </w:r>
      <w:r w:rsidR="00621351">
        <w:t xml:space="preserve"> </w:t>
      </w:r>
      <w:r w:rsidR="00621351" w:rsidRPr="00621351">
        <w:t>за израду веб презент</w:t>
      </w:r>
      <w:r w:rsidR="00621351">
        <w:t>ација органа државне управе</w:t>
      </w:r>
      <w:r w:rsidR="00621351">
        <w:rPr>
          <w:rStyle w:val="FootnoteReference"/>
        </w:rPr>
        <w:footnoteReference w:id="19"/>
      </w:r>
    </w:p>
    <w:p w14:paraId="3334410C" w14:textId="35B694BD" w:rsidR="00642EF0" w:rsidRPr="00BB7217" w:rsidRDefault="00642EF0" w:rsidP="00DF7C33">
      <w:pPr>
        <w:pStyle w:val="Heading3"/>
      </w:pPr>
      <w:bookmarkStart w:id="53" w:name="_Toc468269556"/>
      <w:bookmarkStart w:id="54" w:name="_Toc468553638"/>
      <w:r w:rsidRPr="00BB7217">
        <w:t>Прилагођеност мобилним уређајима</w:t>
      </w:r>
      <w:bookmarkEnd w:id="53"/>
      <w:bookmarkEnd w:id="54"/>
    </w:p>
    <w:p w14:paraId="014A485E" w14:textId="61401DD2" w:rsidR="00F62999" w:rsidRDefault="00642EF0" w:rsidP="00F62999">
      <w:pPr>
        <w:pStyle w:val="Tekst"/>
      </w:pPr>
      <w:r w:rsidRPr="00BB7217">
        <w:t xml:space="preserve">Број корисника </w:t>
      </w:r>
      <w:r w:rsidR="00305EFF">
        <w:t>мобилног интернета</w:t>
      </w:r>
      <w:r w:rsidR="00EC3A0C" w:rsidRPr="00BB7217">
        <w:t xml:space="preserve"> у Србији</w:t>
      </w:r>
      <w:r w:rsidRPr="00BB7217">
        <w:t xml:space="preserve"> </w:t>
      </w:r>
      <w:r w:rsidR="0066058D">
        <w:t>се из године у годину повећава. Како</w:t>
      </w:r>
      <w:r w:rsidR="00305EFF">
        <w:t xml:space="preserve"> све већи број корисника користи мобилне уређаје за приступ интернет садржају, д</w:t>
      </w:r>
      <w:r w:rsidR="00EC3A0C" w:rsidRPr="00BB7217">
        <w:t xml:space="preserve">изајн </w:t>
      </w:r>
      <w:r w:rsidR="00305EFF">
        <w:t xml:space="preserve">презентације треба да буде </w:t>
      </w:r>
      <w:proofErr w:type="spellStart"/>
      <w:r w:rsidR="00305EFF">
        <w:t>респонсиван</w:t>
      </w:r>
      <w:proofErr w:type="spellEnd"/>
      <w:r w:rsidR="00305EFF">
        <w:t xml:space="preserve">. То у пракси значи да се </w:t>
      </w:r>
      <w:r w:rsidR="00EC3A0C" w:rsidRPr="00BB7217">
        <w:t>садржај презентације на најбољи начин прилагоди приказивању величини и резолуцији</w:t>
      </w:r>
      <w:r w:rsidR="00AE7135" w:rsidRPr="00BB7217">
        <w:t xml:space="preserve"> </w:t>
      </w:r>
      <w:r w:rsidR="00305EFF">
        <w:t xml:space="preserve">екрана </w:t>
      </w:r>
      <w:r w:rsidR="00AE7135" w:rsidRPr="00BB7217">
        <w:t>уређаја.</w:t>
      </w:r>
      <w:r w:rsidR="00305EFF">
        <w:t xml:space="preserve"> Овај приступ је већ уграђен у све новије платформе за приказ садржаја.</w:t>
      </w:r>
      <w:bookmarkStart w:id="55" w:name="_Toc468269557"/>
    </w:p>
    <w:p w14:paraId="7FE9B2B7" w14:textId="77777777" w:rsidR="00807460" w:rsidRDefault="00807460" w:rsidP="00662511">
      <w:pPr>
        <w:pStyle w:val="Heading1"/>
        <w:pageBreakBefore w:val="0"/>
      </w:pPr>
      <w:bookmarkStart w:id="56" w:name="_Toc468269558"/>
      <w:bookmarkStart w:id="57" w:name="_Toc468553639"/>
      <w:bookmarkEnd w:id="55"/>
      <w:r w:rsidRPr="00BB7217">
        <w:lastRenderedPageBreak/>
        <w:t>Анализа постојећег стања</w:t>
      </w:r>
      <w:bookmarkEnd w:id="56"/>
      <w:bookmarkEnd w:id="57"/>
    </w:p>
    <w:p w14:paraId="5B8BE725" w14:textId="26AE331F" w:rsidR="00A85627" w:rsidRDefault="00A85627" w:rsidP="00A85627">
      <w:pPr>
        <w:pStyle w:val="Tekst"/>
      </w:pPr>
      <w:r>
        <w:t xml:space="preserve">Анализа тренутног стања интернет презентација је спроведена употребом електронског обрасца за оцену интернет презентације. </w:t>
      </w:r>
      <w:r w:rsidR="00D72332">
        <w:t>Појединачне а</w:t>
      </w:r>
      <w:r>
        <w:t>нализе</w:t>
      </w:r>
      <w:r w:rsidR="00D72332">
        <w:t xml:space="preserve"> са коментарима</w:t>
      </w:r>
      <w:r>
        <w:t xml:space="preserve"> су достављене као анекс на овај документ.</w:t>
      </w:r>
    </w:p>
    <w:p w14:paraId="5D60C9A8" w14:textId="3AA53CF7" w:rsidR="00A85627" w:rsidRDefault="00662511" w:rsidP="00A85627">
      <w:pPr>
        <w:pStyle w:val="Tekst"/>
      </w:pPr>
      <w:r>
        <w:t>Образац за анализу стања, дат уз ово упутство, може се једноставно применити на било коју инспекцијску службу и на брз начин проценити садашње стање интернет презентације. Приликом процене питања су формирана тако да сугеришу које потребне елементе треба да има интернет презентација а законски основ је дат у колони Напомена. На тај начин образац постаје не само алат за оцењивање већ и водич при креирању захтева за израду или дораду интернет презентације.</w:t>
      </w:r>
      <w:r w:rsidR="009C5221">
        <w:rPr>
          <w:lang w:val="en-US"/>
        </w:rPr>
        <w:t xml:space="preserve"> </w:t>
      </w:r>
      <w:r w:rsidR="009C5221">
        <w:t>Примењени образац је изворно настао као део интегралног информационог система</w:t>
      </w:r>
      <w:r w:rsidR="00AD2702">
        <w:t xml:space="preserve"> </w:t>
      </w:r>
      <w:proofErr w:type="spellStart"/>
      <w:r w:rsidR="00AD2702">
        <w:t>еИнспекција</w:t>
      </w:r>
      <w:proofErr w:type="spellEnd"/>
      <w:r w:rsidR="00AD2702">
        <w:t>,</w:t>
      </w:r>
      <w:r w:rsidR="009C5221">
        <w:t xml:space="preserve"> који се примењује већ четири </w:t>
      </w:r>
      <w:r w:rsidR="00120403">
        <w:t>г</w:t>
      </w:r>
      <w:r w:rsidR="009C5221">
        <w:t>одине у</w:t>
      </w:r>
      <w:r w:rsidR="00AD2702">
        <w:t>спешно промењује и унапређује у</w:t>
      </w:r>
      <w:r w:rsidR="009C5221">
        <w:t xml:space="preserve"> Санитарној инспекцији АП Војводине</w:t>
      </w:r>
      <w:r w:rsidR="00AD2702">
        <w:t>.</w:t>
      </w:r>
    </w:p>
    <w:p w14:paraId="7409C205" w14:textId="6C1BBD5C" w:rsidR="009312C1" w:rsidRPr="00D72332" w:rsidRDefault="009312C1" w:rsidP="00A85627">
      <w:pPr>
        <w:pStyle w:val="Tekst"/>
        <w:rPr>
          <w:lang w:val="en-US"/>
        </w:rPr>
      </w:pPr>
      <w:r>
        <w:t>Следи табела са збирном анализом и прегледом степена усаглашености по инспекцијама и по елементима, онако како су дати у електронском обрасцу за оцењивање. Зеленом су обојене сегменти који су усклађени, бели су неутрални сегменти а црвеном бојом су означени критични сегменти.</w:t>
      </w:r>
    </w:p>
    <w:tbl>
      <w:tblPr>
        <w:tblW w:w="8560" w:type="dxa"/>
        <w:tblLook w:val="04A0" w:firstRow="1" w:lastRow="0" w:firstColumn="1" w:lastColumn="0" w:noHBand="0" w:noVBand="1"/>
      </w:tblPr>
      <w:tblGrid>
        <w:gridCol w:w="2235"/>
        <w:gridCol w:w="728"/>
        <w:gridCol w:w="1295"/>
        <w:gridCol w:w="1125"/>
        <w:gridCol w:w="1064"/>
        <w:gridCol w:w="1032"/>
        <w:gridCol w:w="1225"/>
        <w:gridCol w:w="906"/>
      </w:tblGrid>
      <w:tr w:rsidR="009312C1" w:rsidRPr="009312C1" w14:paraId="5B747C85" w14:textId="77777777" w:rsidTr="009312C1">
        <w:trPr>
          <w:trHeight w:val="900"/>
        </w:trPr>
        <w:tc>
          <w:tcPr>
            <w:tcW w:w="223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EC8AAB2" w14:textId="53E0DD3F" w:rsidR="009312C1" w:rsidRPr="009312C1" w:rsidRDefault="009312C1" w:rsidP="009312C1">
            <w:pPr>
              <w:jc w:val="center"/>
              <w:rPr>
                <w:rFonts w:ascii="Calibri" w:eastAsia="Times New Roman" w:hAnsi="Calibri" w:cs="Calibri"/>
                <w:b/>
                <w:bCs/>
                <w:color w:val="003300"/>
                <w:sz w:val="22"/>
                <w:szCs w:val="22"/>
                <w:lang w:val="en-US"/>
              </w:rPr>
            </w:pPr>
          </w:p>
        </w:tc>
        <w:tc>
          <w:tcPr>
            <w:tcW w:w="689" w:type="dxa"/>
            <w:tcBorders>
              <w:top w:val="single" w:sz="4" w:space="0" w:color="auto"/>
              <w:left w:val="nil"/>
              <w:bottom w:val="single" w:sz="4" w:space="0" w:color="auto"/>
              <w:right w:val="single" w:sz="4" w:space="0" w:color="auto"/>
            </w:tcBorders>
            <w:shd w:val="clear" w:color="000000" w:fill="D9D9D9"/>
            <w:vAlign w:val="center"/>
            <w:hideMark/>
          </w:tcPr>
          <w:p w14:paraId="3349395E" w14:textId="77777777" w:rsidR="009312C1" w:rsidRPr="009312C1" w:rsidRDefault="009312C1" w:rsidP="009312C1">
            <w:pPr>
              <w:jc w:val="center"/>
              <w:rPr>
                <w:rFonts w:ascii="Calibri" w:eastAsia="Times New Roman" w:hAnsi="Calibri" w:cs="Calibri"/>
                <w:b/>
                <w:bCs/>
                <w:color w:val="003300"/>
                <w:sz w:val="22"/>
                <w:szCs w:val="22"/>
                <w:lang w:val="en-US"/>
              </w:rPr>
            </w:pPr>
            <w:proofErr w:type="spellStart"/>
            <w:r w:rsidRPr="009312C1">
              <w:rPr>
                <w:rFonts w:ascii="Calibri" w:eastAsia="Times New Roman" w:hAnsi="Calibri" w:cs="Calibri"/>
                <w:b/>
                <w:bCs/>
                <w:color w:val="003300"/>
                <w:sz w:val="22"/>
                <w:szCs w:val="22"/>
                <w:lang w:val="en-US"/>
              </w:rPr>
              <w:t>Рад</w:t>
            </w:r>
            <w:proofErr w:type="spellEnd"/>
          </w:p>
        </w:tc>
        <w:tc>
          <w:tcPr>
            <w:tcW w:w="1109" w:type="dxa"/>
            <w:tcBorders>
              <w:top w:val="single" w:sz="4" w:space="0" w:color="auto"/>
              <w:left w:val="nil"/>
              <w:bottom w:val="single" w:sz="4" w:space="0" w:color="auto"/>
              <w:right w:val="single" w:sz="4" w:space="0" w:color="auto"/>
            </w:tcBorders>
            <w:shd w:val="clear" w:color="000000" w:fill="D9D9D9"/>
            <w:vAlign w:val="center"/>
            <w:hideMark/>
          </w:tcPr>
          <w:p w14:paraId="1B2AA8A9" w14:textId="77777777" w:rsidR="009312C1" w:rsidRPr="009312C1" w:rsidRDefault="009312C1" w:rsidP="009312C1">
            <w:pPr>
              <w:jc w:val="center"/>
              <w:rPr>
                <w:rFonts w:ascii="Calibri" w:eastAsia="Times New Roman" w:hAnsi="Calibri" w:cs="Calibri"/>
                <w:b/>
                <w:bCs/>
                <w:color w:val="003300"/>
                <w:sz w:val="22"/>
                <w:szCs w:val="22"/>
                <w:lang w:val="en-US"/>
              </w:rPr>
            </w:pPr>
            <w:proofErr w:type="spellStart"/>
            <w:r w:rsidRPr="009312C1">
              <w:rPr>
                <w:rFonts w:ascii="Calibri" w:eastAsia="Times New Roman" w:hAnsi="Calibri" w:cs="Calibri"/>
                <w:b/>
                <w:bCs/>
                <w:color w:val="003300"/>
                <w:sz w:val="22"/>
                <w:szCs w:val="22"/>
                <w:lang w:val="en-US"/>
              </w:rPr>
              <w:t>Туристичка</w:t>
            </w:r>
            <w:proofErr w:type="spellEnd"/>
          </w:p>
        </w:tc>
        <w:tc>
          <w:tcPr>
            <w:tcW w:w="939" w:type="dxa"/>
            <w:tcBorders>
              <w:top w:val="single" w:sz="4" w:space="0" w:color="auto"/>
              <w:left w:val="nil"/>
              <w:bottom w:val="single" w:sz="4" w:space="0" w:color="auto"/>
              <w:right w:val="single" w:sz="4" w:space="0" w:color="auto"/>
            </w:tcBorders>
            <w:shd w:val="clear" w:color="000000" w:fill="D9D9D9"/>
            <w:vAlign w:val="center"/>
            <w:hideMark/>
          </w:tcPr>
          <w:p w14:paraId="4E95293F" w14:textId="77777777" w:rsidR="009312C1" w:rsidRPr="009312C1" w:rsidRDefault="009312C1" w:rsidP="009312C1">
            <w:pPr>
              <w:jc w:val="center"/>
              <w:rPr>
                <w:rFonts w:ascii="Calibri" w:eastAsia="Times New Roman" w:hAnsi="Calibri" w:cs="Calibri"/>
                <w:b/>
                <w:bCs/>
                <w:color w:val="003300"/>
                <w:sz w:val="22"/>
                <w:szCs w:val="22"/>
                <w:lang w:val="en-US"/>
              </w:rPr>
            </w:pPr>
            <w:proofErr w:type="spellStart"/>
            <w:r w:rsidRPr="009312C1">
              <w:rPr>
                <w:rFonts w:ascii="Calibri" w:eastAsia="Times New Roman" w:hAnsi="Calibri" w:cs="Calibri"/>
                <w:b/>
                <w:bCs/>
                <w:color w:val="003300"/>
                <w:sz w:val="22"/>
                <w:szCs w:val="22"/>
                <w:lang w:val="en-US"/>
              </w:rPr>
              <w:t>Тржишна</w:t>
            </w:r>
            <w:proofErr w:type="spellEnd"/>
          </w:p>
        </w:tc>
        <w:tc>
          <w:tcPr>
            <w:tcW w:w="887" w:type="dxa"/>
            <w:tcBorders>
              <w:top w:val="single" w:sz="4" w:space="0" w:color="auto"/>
              <w:left w:val="nil"/>
              <w:bottom w:val="single" w:sz="4" w:space="0" w:color="auto"/>
              <w:right w:val="single" w:sz="4" w:space="0" w:color="auto"/>
            </w:tcBorders>
            <w:shd w:val="clear" w:color="000000" w:fill="D9D9D9"/>
            <w:vAlign w:val="center"/>
            <w:hideMark/>
          </w:tcPr>
          <w:p w14:paraId="4B5C2529" w14:textId="77777777" w:rsidR="009312C1" w:rsidRPr="009312C1" w:rsidRDefault="009312C1" w:rsidP="009312C1">
            <w:pPr>
              <w:jc w:val="center"/>
              <w:rPr>
                <w:rFonts w:ascii="Calibri" w:eastAsia="Times New Roman" w:hAnsi="Calibri" w:cs="Calibri"/>
                <w:b/>
                <w:bCs/>
                <w:color w:val="003300"/>
                <w:sz w:val="22"/>
                <w:szCs w:val="22"/>
                <w:lang w:val="en-US"/>
              </w:rPr>
            </w:pPr>
            <w:proofErr w:type="spellStart"/>
            <w:r w:rsidRPr="009312C1">
              <w:rPr>
                <w:rFonts w:ascii="Calibri" w:eastAsia="Times New Roman" w:hAnsi="Calibri" w:cs="Calibri"/>
                <w:b/>
                <w:bCs/>
                <w:color w:val="003300"/>
                <w:sz w:val="22"/>
                <w:szCs w:val="22"/>
                <w:lang w:val="en-US"/>
              </w:rPr>
              <w:t>Животна</w:t>
            </w:r>
            <w:proofErr w:type="spellEnd"/>
            <w:r w:rsidRPr="009312C1">
              <w:rPr>
                <w:rFonts w:ascii="Calibri" w:eastAsia="Times New Roman" w:hAnsi="Calibri" w:cs="Calibri"/>
                <w:b/>
                <w:bCs/>
                <w:color w:val="003300"/>
                <w:sz w:val="22"/>
                <w:szCs w:val="22"/>
                <w:lang w:val="en-US"/>
              </w:rPr>
              <w:t xml:space="preserve"> </w:t>
            </w:r>
            <w:proofErr w:type="spellStart"/>
            <w:r w:rsidRPr="009312C1">
              <w:rPr>
                <w:rFonts w:ascii="Calibri" w:eastAsia="Times New Roman" w:hAnsi="Calibri" w:cs="Calibri"/>
                <w:b/>
                <w:bCs/>
                <w:color w:val="003300"/>
                <w:sz w:val="22"/>
                <w:szCs w:val="22"/>
                <w:lang w:val="en-US"/>
              </w:rPr>
              <w:t>ср</w:t>
            </w:r>
            <w:proofErr w:type="spellEnd"/>
            <w:r w:rsidRPr="009312C1">
              <w:rPr>
                <w:rFonts w:ascii="Calibri" w:eastAsia="Times New Roman" w:hAnsi="Calibri" w:cs="Calibri"/>
                <w:b/>
                <w:bCs/>
                <w:color w:val="003300"/>
                <w:sz w:val="22"/>
                <w:szCs w:val="22"/>
                <w:lang w:val="en-US"/>
              </w:rPr>
              <w:t>.</w:t>
            </w:r>
          </w:p>
        </w:tc>
        <w:tc>
          <w:tcPr>
            <w:tcW w:w="868" w:type="dxa"/>
            <w:tcBorders>
              <w:top w:val="single" w:sz="4" w:space="0" w:color="auto"/>
              <w:left w:val="nil"/>
              <w:bottom w:val="single" w:sz="4" w:space="0" w:color="auto"/>
              <w:right w:val="single" w:sz="4" w:space="0" w:color="auto"/>
            </w:tcBorders>
            <w:shd w:val="clear" w:color="000000" w:fill="D9D9D9"/>
            <w:vAlign w:val="center"/>
            <w:hideMark/>
          </w:tcPr>
          <w:p w14:paraId="290A767B" w14:textId="77777777" w:rsidR="009312C1" w:rsidRPr="009312C1" w:rsidRDefault="009312C1" w:rsidP="009312C1">
            <w:pPr>
              <w:jc w:val="center"/>
              <w:rPr>
                <w:rFonts w:ascii="Calibri" w:eastAsia="Times New Roman" w:hAnsi="Calibri" w:cs="Calibri"/>
                <w:b/>
                <w:bCs/>
                <w:color w:val="003300"/>
                <w:sz w:val="22"/>
                <w:szCs w:val="22"/>
                <w:lang w:val="en-US"/>
              </w:rPr>
            </w:pPr>
            <w:proofErr w:type="spellStart"/>
            <w:r w:rsidRPr="009312C1">
              <w:rPr>
                <w:rFonts w:ascii="Calibri" w:eastAsia="Times New Roman" w:hAnsi="Calibri" w:cs="Calibri"/>
                <w:b/>
                <w:bCs/>
                <w:color w:val="003300"/>
                <w:sz w:val="22"/>
                <w:szCs w:val="22"/>
                <w:lang w:val="en-US"/>
              </w:rPr>
              <w:t>Управни</w:t>
            </w:r>
            <w:proofErr w:type="spellEnd"/>
          </w:p>
        </w:tc>
        <w:tc>
          <w:tcPr>
            <w:tcW w:w="1039" w:type="dxa"/>
            <w:tcBorders>
              <w:top w:val="single" w:sz="4" w:space="0" w:color="auto"/>
              <w:left w:val="nil"/>
              <w:bottom w:val="single" w:sz="4" w:space="0" w:color="auto"/>
              <w:right w:val="single" w:sz="4" w:space="0" w:color="auto"/>
            </w:tcBorders>
            <w:shd w:val="clear" w:color="000000" w:fill="D9D9D9"/>
            <w:vAlign w:val="center"/>
            <w:hideMark/>
          </w:tcPr>
          <w:p w14:paraId="11700555" w14:textId="77777777" w:rsidR="009312C1" w:rsidRPr="009312C1" w:rsidRDefault="009312C1" w:rsidP="009312C1">
            <w:pPr>
              <w:jc w:val="center"/>
              <w:rPr>
                <w:rFonts w:ascii="Calibri" w:eastAsia="Times New Roman" w:hAnsi="Calibri" w:cs="Calibri"/>
                <w:b/>
                <w:bCs/>
                <w:color w:val="003300"/>
                <w:sz w:val="22"/>
                <w:szCs w:val="22"/>
                <w:lang w:val="en-US"/>
              </w:rPr>
            </w:pPr>
            <w:proofErr w:type="spellStart"/>
            <w:r w:rsidRPr="009312C1">
              <w:rPr>
                <w:rFonts w:ascii="Calibri" w:eastAsia="Times New Roman" w:hAnsi="Calibri" w:cs="Calibri"/>
                <w:b/>
                <w:bCs/>
                <w:color w:val="003300"/>
                <w:sz w:val="22"/>
                <w:szCs w:val="22"/>
                <w:lang w:val="en-US"/>
              </w:rPr>
              <w:t>Санитарна</w:t>
            </w:r>
            <w:proofErr w:type="spellEnd"/>
          </w:p>
        </w:tc>
        <w:tc>
          <w:tcPr>
            <w:tcW w:w="794" w:type="dxa"/>
            <w:tcBorders>
              <w:top w:val="single" w:sz="4" w:space="0" w:color="auto"/>
              <w:left w:val="nil"/>
              <w:bottom w:val="single" w:sz="4" w:space="0" w:color="auto"/>
              <w:right w:val="single" w:sz="4" w:space="0" w:color="auto"/>
            </w:tcBorders>
            <w:shd w:val="clear" w:color="000000" w:fill="D9D9D9"/>
            <w:vAlign w:val="center"/>
            <w:hideMark/>
          </w:tcPr>
          <w:p w14:paraId="11894DA5" w14:textId="77777777" w:rsidR="009312C1" w:rsidRPr="009312C1" w:rsidRDefault="009312C1" w:rsidP="009312C1">
            <w:pPr>
              <w:jc w:val="center"/>
              <w:rPr>
                <w:rFonts w:ascii="Calibri" w:eastAsia="Times New Roman" w:hAnsi="Calibri" w:cs="Calibri"/>
                <w:b/>
                <w:bCs/>
                <w:color w:val="003300"/>
                <w:sz w:val="22"/>
                <w:szCs w:val="22"/>
                <w:lang w:val="en-US"/>
              </w:rPr>
            </w:pPr>
            <w:proofErr w:type="spellStart"/>
            <w:r w:rsidRPr="009312C1">
              <w:rPr>
                <w:rFonts w:ascii="Calibri" w:eastAsia="Times New Roman" w:hAnsi="Calibri" w:cs="Calibri"/>
                <w:b/>
                <w:bCs/>
                <w:color w:val="003300"/>
                <w:sz w:val="22"/>
                <w:szCs w:val="22"/>
                <w:lang w:val="en-US"/>
              </w:rPr>
              <w:t>Укупно</w:t>
            </w:r>
            <w:proofErr w:type="spellEnd"/>
          </w:p>
        </w:tc>
      </w:tr>
      <w:tr w:rsidR="009312C1" w:rsidRPr="009312C1" w14:paraId="4EE85F0A" w14:textId="77777777" w:rsidTr="009312C1">
        <w:trPr>
          <w:trHeight w:val="255"/>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14:paraId="1ED9E265" w14:textId="05E5365D" w:rsidR="009312C1" w:rsidRPr="009312C1" w:rsidRDefault="009312C1" w:rsidP="009312C1">
            <w:pPr>
              <w:rPr>
                <w:rFonts w:ascii="Arial" w:eastAsia="Times New Roman" w:hAnsi="Arial" w:cs="Arial"/>
                <w:sz w:val="20"/>
                <w:szCs w:val="20"/>
                <w:lang w:val="en-US"/>
              </w:rPr>
            </w:pPr>
            <w:proofErr w:type="spellStart"/>
            <w:r w:rsidRPr="009312C1">
              <w:rPr>
                <w:rFonts w:ascii="Arial" w:eastAsia="Times New Roman" w:hAnsi="Arial" w:cs="Arial"/>
                <w:sz w:val="20"/>
                <w:szCs w:val="20"/>
                <w:lang w:val="en-US"/>
              </w:rPr>
              <w:t>Основни</w:t>
            </w:r>
            <w:proofErr w:type="spellEnd"/>
            <w:r w:rsidRPr="009312C1">
              <w:rPr>
                <w:rFonts w:ascii="Arial" w:eastAsia="Times New Roman" w:hAnsi="Arial" w:cs="Arial"/>
                <w:sz w:val="20"/>
                <w:szCs w:val="20"/>
                <w:lang w:val="en-US"/>
              </w:rPr>
              <w:t xml:space="preserve"> </w:t>
            </w:r>
            <w:proofErr w:type="spellStart"/>
            <w:r w:rsidRPr="009312C1">
              <w:rPr>
                <w:rFonts w:ascii="Arial" w:eastAsia="Times New Roman" w:hAnsi="Arial" w:cs="Arial"/>
                <w:sz w:val="20"/>
                <w:szCs w:val="20"/>
                <w:lang w:val="en-US"/>
              </w:rPr>
              <w:t>елементи</w:t>
            </w:r>
            <w:proofErr w:type="spellEnd"/>
          </w:p>
        </w:tc>
        <w:tc>
          <w:tcPr>
            <w:tcW w:w="689"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27CEFBA2"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100%</w:t>
            </w:r>
          </w:p>
        </w:tc>
        <w:tc>
          <w:tcPr>
            <w:tcW w:w="1109" w:type="dxa"/>
            <w:tcBorders>
              <w:top w:val="single" w:sz="4" w:space="0" w:color="auto"/>
              <w:left w:val="single" w:sz="4" w:space="0" w:color="auto"/>
              <w:bottom w:val="single" w:sz="4" w:space="0" w:color="auto"/>
              <w:right w:val="single" w:sz="4" w:space="0" w:color="auto"/>
            </w:tcBorders>
            <w:shd w:val="clear" w:color="000000" w:fill="FCFCFF"/>
            <w:noWrap/>
            <w:vAlign w:val="bottom"/>
            <w:hideMark/>
          </w:tcPr>
          <w:p w14:paraId="4A983F81"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33%</w:t>
            </w:r>
          </w:p>
        </w:tc>
        <w:tc>
          <w:tcPr>
            <w:tcW w:w="939" w:type="dxa"/>
            <w:tcBorders>
              <w:top w:val="single" w:sz="4" w:space="0" w:color="auto"/>
              <w:left w:val="single" w:sz="4" w:space="0" w:color="auto"/>
              <w:bottom w:val="single" w:sz="4" w:space="0" w:color="auto"/>
              <w:right w:val="single" w:sz="4" w:space="0" w:color="auto"/>
            </w:tcBorders>
            <w:shd w:val="clear" w:color="000000" w:fill="FCFCFF"/>
            <w:noWrap/>
            <w:vAlign w:val="bottom"/>
            <w:hideMark/>
          </w:tcPr>
          <w:p w14:paraId="4DC926E8"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33%</w:t>
            </w:r>
          </w:p>
        </w:tc>
        <w:tc>
          <w:tcPr>
            <w:tcW w:w="887" w:type="dxa"/>
            <w:tcBorders>
              <w:top w:val="single" w:sz="4" w:space="0" w:color="auto"/>
              <w:left w:val="single" w:sz="4" w:space="0" w:color="auto"/>
              <w:bottom w:val="single" w:sz="4" w:space="0" w:color="auto"/>
              <w:right w:val="single" w:sz="4" w:space="0" w:color="auto"/>
            </w:tcBorders>
            <w:shd w:val="clear" w:color="000000" w:fill="FCFCFF"/>
            <w:noWrap/>
            <w:vAlign w:val="bottom"/>
            <w:hideMark/>
          </w:tcPr>
          <w:p w14:paraId="38E67377"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33%</w:t>
            </w:r>
          </w:p>
        </w:tc>
        <w:tc>
          <w:tcPr>
            <w:tcW w:w="868" w:type="dxa"/>
            <w:tcBorders>
              <w:top w:val="single" w:sz="4" w:space="0" w:color="auto"/>
              <w:left w:val="single" w:sz="4" w:space="0" w:color="auto"/>
              <w:bottom w:val="single" w:sz="4" w:space="0" w:color="auto"/>
              <w:right w:val="single" w:sz="4" w:space="0" w:color="auto"/>
            </w:tcBorders>
            <w:shd w:val="clear" w:color="000000" w:fill="FCFCFF"/>
            <w:noWrap/>
            <w:vAlign w:val="bottom"/>
            <w:hideMark/>
          </w:tcPr>
          <w:p w14:paraId="7BE86642"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33%</w:t>
            </w:r>
          </w:p>
        </w:tc>
        <w:tc>
          <w:tcPr>
            <w:tcW w:w="1039" w:type="dxa"/>
            <w:tcBorders>
              <w:top w:val="single" w:sz="4" w:space="0" w:color="auto"/>
              <w:left w:val="single" w:sz="4" w:space="0" w:color="auto"/>
              <w:bottom w:val="single" w:sz="4" w:space="0" w:color="auto"/>
              <w:right w:val="single" w:sz="4" w:space="0" w:color="auto"/>
            </w:tcBorders>
            <w:shd w:val="clear" w:color="000000" w:fill="FCFCFF"/>
            <w:noWrap/>
            <w:vAlign w:val="bottom"/>
            <w:hideMark/>
          </w:tcPr>
          <w:p w14:paraId="1DA7DD80"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33%</w:t>
            </w:r>
          </w:p>
        </w:tc>
        <w:tc>
          <w:tcPr>
            <w:tcW w:w="794" w:type="dxa"/>
            <w:tcBorders>
              <w:top w:val="single" w:sz="4" w:space="0" w:color="auto"/>
              <w:left w:val="single" w:sz="4" w:space="0" w:color="auto"/>
              <w:bottom w:val="single" w:sz="4" w:space="0" w:color="auto"/>
              <w:right w:val="single" w:sz="4" w:space="0" w:color="auto"/>
            </w:tcBorders>
            <w:shd w:val="clear" w:color="000000" w:fill="E3F2E9"/>
            <w:noWrap/>
            <w:vAlign w:val="bottom"/>
            <w:hideMark/>
          </w:tcPr>
          <w:p w14:paraId="4BE94427"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44%</w:t>
            </w:r>
          </w:p>
        </w:tc>
      </w:tr>
      <w:tr w:rsidR="009312C1" w:rsidRPr="009312C1" w14:paraId="494C6559" w14:textId="77777777" w:rsidTr="009312C1">
        <w:trPr>
          <w:trHeight w:val="255"/>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14:paraId="4392D86D" w14:textId="0AE5835C" w:rsidR="009312C1" w:rsidRPr="009312C1" w:rsidRDefault="009312C1" w:rsidP="009312C1">
            <w:pPr>
              <w:rPr>
                <w:rFonts w:ascii="Arial" w:eastAsia="Times New Roman" w:hAnsi="Arial" w:cs="Arial"/>
                <w:sz w:val="20"/>
                <w:szCs w:val="20"/>
                <w:lang w:val="en-US"/>
              </w:rPr>
            </w:pPr>
            <w:r w:rsidRPr="009312C1">
              <w:rPr>
                <w:rFonts w:ascii="Arial" w:eastAsia="Times New Roman" w:hAnsi="Arial" w:cs="Arial"/>
                <w:sz w:val="20"/>
                <w:szCs w:val="20"/>
                <w:lang w:val="en-US"/>
              </w:rPr>
              <w:t xml:space="preserve">О </w:t>
            </w:r>
            <w:proofErr w:type="spellStart"/>
            <w:r w:rsidRPr="009312C1">
              <w:rPr>
                <w:rFonts w:ascii="Arial" w:eastAsia="Times New Roman" w:hAnsi="Arial" w:cs="Arial"/>
                <w:sz w:val="20"/>
                <w:szCs w:val="20"/>
                <w:lang w:val="en-US"/>
              </w:rPr>
              <w:t>нама</w:t>
            </w:r>
            <w:proofErr w:type="spellEnd"/>
          </w:p>
        </w:tc>
        <w:tc>
          <w:tcPr>
            <w:tcW w:w="689"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7385A69C"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100%</w:t>
            </w:r>
          </w:p>
        </w:tc>
        <w:tc>
          <w:tcPr>
            <w:tcW w:w="1109"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6955A6C8"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100%</w:t>
            </w:r>
          </w:p>
        </w:tc>
        <w:tc>
          <w:tcPr>
            <w:tcW w:w="939" w:type="dxa"/>
            <w:tcBorders>
              <w:top w:val="single" w:sz="4" w:space="0" w:color="auto"/>
              <w:left w:val="single" w:sz="4" w:space="0" w:color="auto"/>
              <w:bottom w:val="single" w:sz="4" w:space="0" w:color="auto"/>
              <w:right w:val="single" w:sz="4" w:space="0" w:color="auto"/>
            </w:tcBorders>
            <w:shd w:val="clear" w:color="000000" w:fill="A5D9B4"/>
            <w:noWrap/>
            <w:vAlign w:val="bottom"/>
            <w:hideMark/>
          </w:tcPr>
          <w:p w14:paraId="15EC2718"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71%</w:t>
            </w:r>
          </w:p>
        </w:tc>
        <w:tc>
          <w:tcPr>
            <w:tcW w:w="887"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1FA46E6E"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100%</w:t>
            </w:r>
          </w:p>
        </w:tc>
        <w:tc>
          <w:tcPr>
            <w:tcW w:w="868"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022D39F9"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100%</w:t>
            </w:r>
          </w:p>
        </w:tc>
        <w:tc>
          <w:tcPr>
            <w:tcW w:w="1039" w:type="dxa"/>
            <w:tcBorders>
              <w:top w:val="single" w:sz="4" w:space="0" w:color="auto"/>
              <w:left w:val="single" w:sz="4" w:space="0" w:color="auto"/>
              <w:bottom w:val="single" w:sz="4" w:space="0" w:color="auto"/>
              <w:right w:val="single" w:sz="4" w:space="0" w:color="auto"/>
            </w:tcBorders>
            <w:shd w:val="clear" w:color="000000" w:fill="C6E6D0"/>
            <w:noWrap/>
            <w:vAlign w:val="bottom"/>
            <w:hideMark/>
          </w:tcPr>
          <w:p w14:paraId="1C15A7ED"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57%</w:t>
            </w:r>
          </w:p>
        </w:tc>
        <w:tc>
          <w:tcPr>
            <w:tcW w:w="794" w:type="dxa"/>
            <w:tcBorders>
              <w:top w:val="single" w:sz="4" w:space="0" w:color="auto"/>
              <w:left w:val="single" w:sz="4" w:space="0" w:color="auto"/>
              <w:bottom w:val="single" w:sz="4" w:space="0" w:color="auto"/>
              <w:right w:val="single" w:sz="4" w:space="0" w:color="auto"/>
            </w:tcBorders>
            <w:shd w:val="clear" w:color="000000" w:fill="7FCA93"/>
            <w:noWrap/>
            <w:vAlign w:val="bottom"/>
            <w:hideMark/>
          </w:tcPr>
          <w:p w14:paraId="05D7F7DC"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88%</w:t>
            </w:r>
          </w:p>
        </w:tc>
      </w:tr>
      <w:tr w:rsidR="009312C1" w:rsidRPr="009312C1" w14:paraId="4EB68D31" w14:textId="77777777" w:rsidTr="009312C1">
        <w:trPr>
          <w:trHeight w:val="255"/>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14:paraId="12D8EA8A" w14:textId="2279C9B1" w:rsidR="009312C1" w:rsidRPr="009312C1" w:rsidRDefault="009312C1" w:rsidP="009312C1">
            <w:pPr>
              <w:rPr>
                <w:rFonts w:ascii="Arial" w:eastAsia="Times New Roman" w:hAnsi="Arial" w:cs="Arial"/>
                <w:sz w:val="20"/>
                <w:szCs w:val="20"/>
                <w:lang w:val="en-US"/>
              </w:rPr>
            </w:pPr>
            <w:proofErr w:type="spellStart"/>
            <w:r w:rsidRPr="009312C1">
              <w:rPr>
                <w:rFonts w:ascii="Arial" w:eastAsia="Times New Roman" w:hAnsi="Arial" w:cs="Arial"/>
                <w:sz w:val="20"/>
                <w:szCs w:val="20"/>
                <w:lang w:val="en-US"/>
              </w:rPr>
              <w:t>Прописи</w:t>
            </w:r>
            <w:proofErr w:type="spellEnd"/>
          </w:p>
        </w:tc>
        <w:tc>
          <w:tcPr>
            <w:tcW w:w="689" w:type="dxa"/>
            <w:tcBorders>
              <w:top w:val="single" w:sz="4" w:space="0" w:color="auto"/>
              <w:left w:val="single" w:sz="4" w:space="0" w:color="auto"/>
              <w:bottom w:val="single" w:sz="4" w:space="0" w:color="auto"/>
              <w:right w:val="single" w:sz="4" w:space="0" w:color="auto"/>
            </w:tcBorders>
            <w:shd w:val="clear" w:color="000000" w:fill="D6EDDE"/>
            <w:noWrap/>
            <w:vAlign w:val="bottom"/>
            <w:hideMark/>
          </w:tcPr>
          <w:p w14:paraId="26AA767E"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50%</w:t>
            </w:r>
          </w:p>
        </w:tc>
        <w:tc>
          <w:tcPr>
            <w:tcW w:w="1109" w:type="dxa"/>
            <w:tcBorders>
              <w:top w:val="single" w:sz="4" w:space="0" w:color="auto"/>
              <w:left w:val="single" w:sz="4" w:space="0" w:color="auto"/>
              <w:bottom w:val="single" w:sz="4" w:space="0" w:color="auto"/>
              <w:right w:val="single" w:sz="4" w:space="0" w:color="auto"/>
            </w:tcBorders>
            <w:shd w:val="clear" w:color="000000" w:fill="C6E6D0"/>
            <w:noWrap/>
            <w:vAlign w:val="bottom"/>
            <w:hideMark/>
          </w:tcPr>
          <w:p w14:paraId="749088C0"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57%</w:t>
            </w:r>
          </w:p>
        </w:tc>
        <w:tc>
          <w:tcPr>
            <w:tcW w:w="939" w:type="dxa"/>
            <w:tcBorders>
              <w:top w:val="single" w:sz="4" w:space="0" w:color="auto"/>
              <w:left w:val="single" w:sz="4" w:space="0" w:color="auto"/>
              <w:bottom w:val="single" w:sz="4" w:space="0" w:color="auto"/>
              <w:right w:val="single" w:sz="4" w:space="0" w:color="auto"/>
            </w:tcBorders>
            <w:shd w:val="clear" w:color="000000" w:fill="F7FAFB"/>
            <w:noWrap/>
            <w:vAlign w:val="bottom"/>
            <w:hideMark/>
          </w:tcPr>
          <w:p w14:paraId="67DB2ACE"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36%</w:t>
            </w:r>
          </w:p>
        </w:tc>
        <w:tc>
          <w:tcPr>
            <w:tcW w:w="887" w:type="dxa"/>
            <w:tcBorders>
              <w:top w:val="single" w:sz="4" w:space="0" w:color="auto"/>
              <w:left w:val="single" w:sz="4" w:space="0" w:color="auto"/>
              <w:bottom w:val="single" w:sz="4" w:space="0" w:color="auto"/>
              <w:right w:val="single" w:sz="4" w:space="0" w:color="auto"/>
            </w:tcBorders>
            <w:shd w:val="clear" w:color="000000" w:fill="E7F4ED"/>
            <w:noWrap/>
            <w:vAlign w:val="bottom"/>
            <w:hideMark/>
          </w:tcPr>
          <w:p w14:paraId="5E0600D1"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43%</w:t>
            </w:r>
          </w:p>
        </w:tc>
        <w:tc>
          <w:tcPr>
            <w:tcW w:w="868" w:type="dxa"/>
            <w:tcBorders>
              <w:top w:val="single" w:sz="4" w:space="0" w:color="auto"/>
              <w:left w:val="single" w:sz="4" w:space="0" w:color="auto"/>
              <w:bottom w:val="single" w:sz="4" w:space="0" w:color="auto"/>
              <w:right w:val="single" w:sz="4" w:space="0" w:color="auto"/>
            </w:tcBorders>
            <w:shd w:val="clear" w:color="000000" w:fill="B5E0C2"/>
            <w:noWrap/>
            <w:vAlign w:val="bottom"/>
            <w:hideMark/>
          </w:tcPr>
          <w:p w14:paraId="275A45EB"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64%</w:t>
            </w:r>
          </w:p>
        </w:tc>
        <w:tc>
          <w:tcPr>
            <w:tcW w:w="1039" w:type="dxa"/>
            <w:tcBorders>
              <w:top w:val="single" w:sz="4" w:space="0" w:color="auto"/>
              <w:left w:val="single" w:sz="4" w:space="0" w:color="auto"/>
              <w:bottom w:val="single" w:sz="4" w:space="0" w:color="auto"/>
              <w:right w:val="single" w:sz="4" w:space="0" w:color="auto"/>
            </w:tcBorders>
            <w:shd w:val="clear" w:color="000000" w:fill="E7F4ED"/>
            <w:noWrap/>
            <w:vAlign w:val="bottom"/>
            <w:hideMark/>
          </w:tcPr>
          <w:p w14:paraId="4D3902BD"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43%</w:t>
            </w:r>
          </w:p>
        </w:tc>
        <w:tc>
          <w:tcPr>
            <w:tcW w:w="794" w:type="dxa"/>
            <w:tcBorders>
              <w:top w:val="single" w:sz="4" w:space="0" w:color="auto"/>
              <w:left w:val="single" w:sz="4" w:space="0" w:color="auto"/>
              <w:bottom w:val="single" w:sz="4" w:space="0" w:color="auto"/>
              <w:right w:val="single" w:sz="4" w:space="0" w:color="auto"/>
            </w:tcBorders>
            <w:shd w:val="clear" w:color="000000" w:fill="D9EEE1"/>
            <w:noWrap/>
            <w:vAlign w:val="bottom"/>
            <w:hideMark/>
          </w:tcPr>
          <w:p w14:paraId="1F2AF99C"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49%</w:t>
            </w:r>
          </w:p>
        </w:tc>
      </w:tr>
      <w:tr w:rsidR="009312C1" w:rsidRPr="009312C1" w14:paraId="79853B98" w14:textId="77777777" w:rsidTr="009312C1">
        <w:trPr>
          <w:trHeight w:val="255"/>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14:paraId="4C53817E" w14:textId="3CC1AB84" w:rsidR="009312C1" w:rsidRPr="009312C1" w:rsidRDefault="009312C1" w:rsidP="009312C1">
            <w:pPr>
              <w:rPr>
                <w:rFonts w:ascii="Arial" w:eastAsia="Times New Roman" w:hAnsi="Arial" w:cs="Arial"/>
                <w:sz w:val="20"/>
                <w:szCs w:val="20"/>
                <w:lang w:val="en-US"/>
              </w:rPr>
            </w:pPr>
            <w:proofErr w:type="spellStart"/>
            <w:r w:rsidRPr="009312C1">
              <w:rPr>
                <w:rFonts w:ascii="Arial" w:eastAsia="Times New Roman" w:hAnsi="Arial" w:cs="Arial"/>
                <w:sz w:val="20"/>
                <w:szCs w:val="20"/>
                <w:lang w:val="en-US"/>
              </w:rPr>
              <w:t>Планови</w:t>
            </w:r>
            <w:proofErr w:type="spellEnd"/>
            <w:r w:rsidRPr="009312C1">
              <w:rPr>
                <w:rFonts w:ascii="Arial" w:eastAsia="Times New Roman" w:hAnsi="Arial" w:cs="Arial"/>
                <w:sz w:val="20"/>
                <w:szCs w:val="20"/>
                <w:lang w:val="en-US"/>
              </w:rPr>
              <w:t xml:space="preserve"> </w:t>
            </w:r>
            <w:proofErr w:type="spellStart"/>
            <w:r w:rsidRPr="009312C1">
              <w:rPr>
                <w:rFonts w:ascii="Arial" w:eastAsia="Times New Roman" w:hAnsi="Arial" w:cs="Arial"/>
                <w:sz w:val="20"/>
                <w:szCs w:val="20"/>
                <w:lang w:val="en-US"/>
              </w:rPr>
              <w:t>рада</w:t>
            </w:r>
            <w:proofErr w:type="spellEnd"/>
          </w:p>
        </w:tc>
        <w:tc>
          <w:tcPr>
            <w:tcW w:w="689"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3A9B9FCE"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0%</w:t>
            </w:r>
          </w:p>
        </w:tc>
        <w:tc>
          <w:tcPr>
            <w:tcW w:w="1109"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7F4E844A"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0%</w:t>
            </w:r>
          </w:p>
        </w:tc>
        <w:tc>
          <w:tcPr>
            <w:tcW w:w="939"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0235FEA7"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0%</w:t>
            </w:r>
          </w:p>
        </w:tc>
        <w:tc>
          <w:tcPr>
            <w:tcW w:w="887"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6C76F234"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0%</w:t>
            </w:r>
          </w:p>
        </w:tc>
        <w:tc>
          <w:tcPr>
            <w:tcW w:w="868"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2A36B52C"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0%</w:t>
            </w:r>
          </w:p>
        </w:tc>
        <w:tc>
          <w:tcPr>
            <w:tcW w:w="1039"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0FD12258"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0%</w:t>
            </w:r>
          </w:p>
        </w:tc>
        <w:tc>
          <w:tcPr>
            <w:tcW w:w="794"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651F36C6"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0%</w:t>
            </w:r>
          </w:p>
        </w:tc>
      </w:tr>
      <w:tr w:rsidR="009312C1" w:rsidRPr="009312C1" w14:paraId="569CC30C" w14:textId="77777777" w:rsidTr="009312C1">
        <w:trPr>
          <w:trHeight w:val="255"/>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14:paraId="074C251E" w14:textId="13D22B0F" w:rsidR="009312C1" w:rsidRPr="009312C1" w:rsidRDefault="009312C1" w:rsidP="009312C1">
            <w:pPr>
              <w:rPr>
                <w:rFonts w:ascii="Arial" w:eastAsia="Times New Roman" w:hAnsi="Arial" w:cs="Arial"/>
                <w:sz w:val="20"/>
                <w:szCs w:val="20"/>
                <w:lang w:val="en-US"/>
              </w:rPr>
            </w:pPr>
            <w:proofErr w:type="spellStart"/>
            <w:r w:rsidRPr="009312C1">
              <w:rPr>
                <w:rFonts w:ascii="Arial" w:eastAsia="Times New Roman" w:hAnsi="Arial" w:cs="Arial"/>
                <w:sz w:val="20"/>
                <w:szCs w:val="20"/>
                <w:lang w:val="en-US"/>
              </w:rPr>
              <w:t>Контролне</w:t>
            </w:r>
            <w:proofErr w:type="spellEnd"/>
            <w:r w:rsidRPr="009312C1">
              <w:rPr>
                <w:rFonts w:ascii="Arial" w:eastAsia="Times New Roman" w:hAnsi="Arial" w:cs="Arial"/>
                <w:sz w:val="20"/>
                <w:szCs w:val="20"/>
                <w:lang w:val="en-US"/>
              </w:rPr>
              <w:t xml:space="preserve"> </w:t>
            </w:r>
            <w:proofErr w:type="spellStart"/>
            <w:r w:rsidRPr="009312C1">
              <w:rPr>
                <w:rFonts w:ascii="Arial" w:eastAsia="Times New Roman" w:hAnsi="Arial" w:cs="Arial"/>
                <w:sz w:val="20"/>
                <w:szCs w:val="20"/>
                <w:lang w:val="en-US"/>
              </w:rPr>
              <w:t>листе</w:t>
            </w:r>
            <w:proofErr w:type="spellEnd"/>
          </w:p>
        </w:tc>
        <w:tc>
          <w:tcPr>
            <w:tcW w:w="689" w:type="dxa"/>
            <w:tcBorders>
              <w:top w:val="single" w:sz="4" w:space="0" w:color="auto"/>
              <w:left w:val="single" w:sz="4" w:space="0" w:color="auto"/>
              <w:bottom w:val="single" w:sz="4" w:space="0" w:color="auto"/>
              <w:right w:val="single" w:sz="4" w:space="0" w:color="auto"/>
            </w:tcBorders>
            <w:shd w:val="clear" w:color="000000" w:fill="C6E6D0"/>
            <w:noWrap/>
            <w:vAlign w:val="bottom"/>
            <w:hideMark/>
          </w:tcPr>
          <w:p w14:paraId="0F389CC9"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57%</w:t>
            </w:r>
          </w:p>
        </w:tc>
        <w:tc>
          <w:tcPr>
            <w:tcW w:w="1109" w:type="dxa"/>
            <w:tcBorders>
              <w:top w:val="single" w:sz="4" w:space="0" w:color="auto"/>
              <w:left w:val="single" w:sz="4" w:space="0" w:color="auto"/>
              <w:bottom w:val="single" w:sz="4" w:space="0" w:color="auto"/>
              <w:right w:val="single" w:sz="4" w:space="0" w:color="auto"/>
            </w:tcBorders>
            <w:shd w:val="clear" w:color="000000" w:fill="C6E6D0"/>
            <w:noWrap/>
            <w:vAlign w:val="bottom"/>
            <w:hideMark/>
          </w:tcPr>
          <w:p w14:paraId="09E376EE"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57%</w:t>
            </w:r>
          </w:p>
        </w:tc>
        <w:tc>
          <w:tcPr>
            <w:tcW w:w="939" w:type="dxa"/>
            <w:tcBorders>
              <w:top w:val="single" w:sz="4" w:space="0" w:color="auto"/>
              <w:left w:val="single" w:sz="4" w:space="0" w:color="auto"/>
              <w:bottom w:val="single" w:sz="4" w:space="0" w:color="auto"/>
              <w:right w:val="single" w:sz="4" w:space="0" w:color="auto"/>
            </w:tcBorders>
            <w:shd w:val="clear" w:color="000000" w:fill="C6E6D0"/>
            <w:noWrap/>
            <w:vAlign w:val="bottom"/>
            <w:hideMark/>
          </w:tcPr>
          <w:p w14:paraId="76564CDE"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57%</w:t>
            </w:r>
          </w:p>
        </w:tc>
        <w:tc>
          <w:tcPr>
            <w:tcW w:w="887" w:type="dxa"/>
            <w:tcBorders>
              <w:top w:val="single" w:sz="4" w:space="0" w:color="auto"/>
              <w:left w:val="single" w:sz="4" w:space="0" w:color="auto"/>
              <w:bottom w:val="single" w:sz="4" w:space="0" w:color="auto"/>
              <w:right w:val="single" w:sz="4" w:space="0" w:color="auto"/>
            </w:tcBorders>
            <w:shd w:val="clear" w:color="000000" w:fill="C6E6D0"/>
            <w:noWrap/>
            <w:vAlign w:val="bottom"/>
            <w:hideMark/>
          </w:tcPr>
          <w:p w14:paraId="67CFDAA1"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57%</w:t>
            </w:r>
          </w:p>
        </w:tc>
        <w:tc>
          <w:tcPr>
            <w:tcW w:w="868" w:type="dxa"/>
            <w:tcBorders>
              <w:top w:val="single" w:sz="4" w:space="0" w:color="auto"/>
              <w:left w:val="single" w:sz="4" w:space="0" w:color="auto"/>
              <w:bottom w:val="single" w:sz="4" w:space="0" w:color="auto"/>
              <w:right w:val="single" w:sz="4" w:space="0" w:color="auto"/>
            </w:tcBorders>
            <w:shd w:val="clear" w:color="000000" w:fill="E7F4ED"/>
            <w:noWrap/>
            <w:vAlign w:val="bottom"/>
            <w:hideMark/>
          </w:tcPr>
          <w:p w14:paraId="2C03479A"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43%</w:t>
            </w:r>
          </w:p>
        </w:tc>
        <w:tc>
          <w:tcPr>
            <w:tcW w:w="1039" w:type="dxa"/>
            <w:tcBorders>
              <w:top w:val="single" w:sz="4" w:space="0" w:color="auto"/>
              <w:left w:val="single" w:sz="4" w:space="0" w:color="auto"/>
              <w:bottom w:val="single" w:sz="4" w:space="0" w:color="auto"/>
              <w:right w:val="single" w:sz="4" w:space="0" w:color="auto"/>
            </w:tcBorders>
            <w:shd w:val="clear" w:color="000000" w:fill="C6E6D0"/>
            <w:noWrap/>
            <w:vAlign w:val="bottom"/>
            <w:hideMark/>
          </w:tcPr>
          <w:p w14:paraId="14DEB51E"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57%</w:t>
            </w:r>
          </w:p>
        </w:tc>
        <w:tc>
          <w:tcPr>
            <w:tcW w:w="794" w:type="dxa"/>
            <w:tcBorders>
              <w:top w:val="single" w:sz="4" w:space="0" w:color="auto"/>
              <w:left w:val="single" w:sz="4" w:space="0" w:color="auto"/>
              <w:bottom w:val="single" w:sz="4" w:space="0" w:color="auto"/>
              <w:right w:val="single" w:sz="4" w:space="0" w:color="auto"/>
            </w:tcBorders>
            <w:shd w:val="clear" w:color="000000" w:fill="CBE9D5"/>
            <w:noWrap/>
            <w:vAlign w:val="bottom"/>
            <w:hideMark/>
          </w:tcPr>
          <w:p w14:paraId="3ED6EF07"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55%</w:t>
            </w:r>
          </w:p>
        </w:tc>
      </w:tr>
      <w:tr w:rsidR="009312C1" w:rsidRPr="009312C1" w14:paraId="6EA18B26" w14:textId="77777777" w:rsidTr="009312C1">
        <w:trPr>
          <w:trHeight w:val="255"/>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14:paraId="56F38597" w14:textId="74C6145B" w:rsidR="009312C1" w:rsidRPr="009312C1" w:rsidRDefault="009312C1" w:rsidP="009312C1">
            <w:pPr>
              <w:rPr>
                <w:rFonts w:ascii="Arial" w:eastAsia="Times New Roman" w:hAnsi="Arial" w:cs="Arial"/>
                <w:sz w:val="20"/>
                <w:szCs w:val="20"/>
                <w:lang w:val="en-US"/>
              </w:rPr>
            </w:pPr>
            <w:proofErr w:type="spellStart"/>
            <w:r w:rsidRPr="009312C1">
              <w:rPr>
                <w:rFonts w:ascii="Arial" w:eastAsia="Times New Roman" w:hAnsi="Arial" w:cs="Arial"/>
                <w:sz w:val="20"/>
                <w:szCs w:val="20"/>
                <w:lang w:val="en-US"/>
              </w:rPr>
              <w:t>Извештаји</w:t>
            </w:r>
            <w:proofErr w:type="spellEnd"/>
          </w:p>
        </w:tc>
        <w:tc>
          <w:tcPr>
            <w:tcW w:w="689" w:type="dxa"/>
            <w:tcBorders>
              <w:top w:val="single" w:sz="4" w:space="0" w:color="auto"/>
              <w:left w:val="single" w:sz="4" w:space="0" w:color="auto"/>
              <w:bottom w:val="single" w:sz="4" w:space="0" w:color="auto"/>
              <w:right w:val="single" w:sz="4" w:space="0" w:color="auto"/>
            </w:tcBorders>
            <w:shd w:val="clear" w:color="000000" w:fill="FBE7E9"/>
            <w:noWrap/>
            <w:vAlign w:val="bottom"/>
            <w:hideMark/>
          </w:tcPr>
          <w:p w14:paraId="5758D0B7"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29%</w:t>
            </w:r>
          </w:p>
        </w:tc>
        <w:tc>
          <w:tcPr>
            <w:tcW w:w="1109" w:type="dxa"/>
            <w:tcBorders>
              <w:top w:val="single" w:sz="4" w:space="0" w:color="auto"/>
              <w:left w:val="single" w:sz="4" w:space="0" w:color="auto"/>
              <w:bottom w:val="single" w:sz="4" w:space="0" w:color="auto"/>
              <w:right w:val="single" w:sz="4" w:space="0" w:color="auto"/>
            </w:tcBorders>
            <w:shd w:val="clear" w:color="000000" w:fill="E7F4ED"/>
            <w:noWrap/>
            <w:vAlign w:val="bottom"/>
            <w:hideMark/>
          </w:tcPr>
          <w:p w14:paraId="054BD4AD"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43%</w:t>
            </w:r>
          </w:p>
        </w:tc>
        <w:tc>
          <w:tcPr>
            <w:tcW w:w="939"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492A9C4E"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0%</w:t>
            </w:r>
          </w:p>
        </w:tc>
        <w:tc>
          <w:tcPr>
            <w:tcW w:w="887"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02BB43AB"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0%</w:t>
            </w:r>
          </w:p>
        </w:tc>
        <w:tc>
          <w:tcPr>
            <w:tcW w:w="868"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651F96BD"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0%</w:t>
            </w:r>
          </w:p>
        </w:tc>
        <w:tc>
          <w:tcPr>
            <w:tcW w:w="1039"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07E6C388"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0%</w:t>
            </w:r>
          </w:p>
        </w:tc>
        <w:tc>
          <w:tcPr>
            <w:tcW w:w="794" w:type="dxa"/>
            <w:tcBorders>
              <w:top w:val="single" w:sz="4" w:space="0" w:color="auto"/>
              <w:left w:val="single" w:sz="4" w:space="0" w:color="auto"/>
              <w:bottom w:val="single" w:sz="4" w:space="0" w:color="auto"/>
              <w:right w:val="single" w:sz="4" w:space="0" w:color="auto"/>
            </w:tcBorders>
            <w:shd w:val="clear" w:color="000000" w:fill="F99D9F"/>
            <w:noWrap/>
            <w:vAlign w:val="bottom"/>
            <w:hideMark/>
          </w:tcPr>
          <w:p w14:paraId="3AE7EDFB"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12%</w:t>
            </w:r>
          </w:p>
        </w:tc>
      </w:tr>
      <w:tr w:rsidR="009312C1" w:rsidRPr="009312C1" w14:paraId="49CE6384" w14:textId="77777777" w:rsidTr="009312C1">
        <w:trPr>
          <w:trHeight w:val="255"/>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14:paraId="46643042" w14:textId="3DEFAD44" w:rsidR="009312C1" w:rsidRPr="009312C1" w:rsidRDefault="009312C1" w:rsidP="009312C1">
            <w:pPr>
              <w:rPr>
                <w:rFonts w:ascii="Arial" w:eastAsia="Times New Roman" w:hAnsi="Arial" w:cs="Arial"/>
                <w:sz w:val="20"/>
                <w:szCs w:val="20"/>
                <w:lang w:val="en-US"/>
              </w:rPr>
            </w:pPr>
            <w:proofErr w:type="spellStart"/>
            <w:r w:rsidRPr="009312C1">
              <w:rPr>
                <w:rFonts w:ascii="Arial" w:eastAsia="Times New Roman" w:hAnsi="Arial" w:cs="Arial"/>
                <w:sz w:val="20"/>
                <w:szCs w:val="20"/>
                <w:lang w:val="en-US"/>
              </w:rPr>
              <w:t>Захтеви</w:t>
            </w:r>
            <w:proofErr w:type="spellEnd"/>
          </w:p>
        </w:tc>
        <w:tc>
          <w:tcPr>
            <w:tcW w:w="689" w:type="dxa"/>
            <w:tcBorders>
              <w:top w:val="single" w:sz="4" w:space="0" w:color="auto"/>
              <w:left w:val="single" w:sz="4" w:space="0" w:color="auto"/>
              <w:bottom w:val="single" w:sz="4" w:space="0" w:color="auto"/>
              <w:right w:val="single" w:sz="4" w:space="0" w:color="auto"/>
            </w:tcBorders>
            <w:shd w:val="clear" w:color="000000" w:fill="BAE1C6"/>
            <w:noWrap/>
            <w:vAlign w:val="bottom"/>
            <w:hideMark/>
          </w:tcPr>
          <w:p w14:paraId="0C9C2CC5"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63%</w:t>
            </w:r>
          </w:p>
        </w:tc>
        <w:tc>
          <w:tcPr>
            <w:tcW w:w="1109" w:type="dxa"/>
            <w:tcBorders>
              <w:top w:val="single" w:sz="4" w:space="0" w:color="auto"/>
              <w:left w:val="single" w:sz="4" w:space="0" w:color="auto"/>
              <w:bottom w:val="single" w:sz="4" w:space="0" w:color="auto"/>
              <w:right w:val="single" w:sz="4" w:space="0" w:color="auto"/>
            </w:tcBorders>
            <w:shd w:val="clear" w:color="000000" w:fill="9DD6AD"/>
            <w:noWrap/>
            <w:vAlign w:val="bottom"/>
            <w:hideMark/>
          </w:tcPr>
          <w:p w14:paraId="5E6E3E68"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75%</w:t>
            </w:r>
          </w:p>
        </w:tc>
        <w:tc>
          <w:tcPr>
            <w:tcW w:w="939"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465D0881"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0%</w:t>
            </w:r>
          </w:p>
        </w:tc>
        <w:tc>
          <w:tcPr>
            <w:tcW w:w="887"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7A1C05D7"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0%</w:t>
            </w:r>
          </w:p>
        </w:tc>
        <w:tc>
          <w:tcPr>
            <w:tcW w:w="868"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2019062A"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0%</w:t>
            </w:r>
          </w:p>
        </w:tc>
        <w:tc>
          <w:tcPr>
            <w:tcW w:w="1039"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7B0E32E0"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0%</w:t>
            </w:r>
          </w:p>
        </w:tc>
        <w:tc>
          <w:tcPr>
            <w:tcW w:w="794" w:type="dxa"/>
            <w:tcBorders>
              <w:top w:val="single" w:sz="4" w:space="0" w:color="auto"/>
              <w:left w:val="single" w:sz="4" w:space="0" w:color="auto"/>
              <w:bottom w:val="single" w:sz="4" w:space="0" w:color="auto"/>
              <w:right w:val="single" w:sz="4" w:space="0" w:color="auto"/>
            </w:tcBorders>
            <w:shd w:val="clear" w:color="000000" w:fill="FACED0"/>
            <w:noWrap/>
            <w:vAlign w:val="bottom"/>
            <w:hideMark/>
          </w:tcPr>
          <w:p w14:paraId="6AC2AF5D"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23%</w:t>
            </w:r>
          </w:p>
        </w:tc>
      </w:tr>
      <w:tr w:rsidR="009312C1" w:rsidRPr="009312C1" w14:paraId="34BE0A8A" w14:textId="77777777" w:rsidTr="009312C1">
        <w:trPr>
          <w:trHeight w:val="255"/>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14:paraId="0DCCABE7" w14:textId="06768B11" w:rsidR="009312C1" w:rsidRPr="009312C1" w:rsidRDefault="009312C1" w:rsidP="009312C1">
            <w:pPr>
              <w:rPr>
                <w:rFonts w:ascii="Arial" w:eastAsia="Times New Roman" w:hAnsi="Arial" w:cs="Arial"/>
                <w:sz w:val="20"/>
                <w:szCs w:val="20"/>
                <w:lang w:val="en-US"/>
              </w:rPr>
            </w:pPr>
            <w:proofErr w:type="spellStart"/>
            <w:r w:rsidRPr="009312C1">
              <w:rPr>
                <w:rFonts w:ascii="Arial" w:eastAsia="Times New Roman" w:hAnsi="Arial" w:cs="Arial"/>
                <w:sz w:val="20"/>
                <w:szCs w:val="20"/>
                <w:lang w:val="en-US"/>
              </w:rPr>
              <w:t>Kомуникација</w:t>
            </w:r>
            <w:proofErr w:type="spellEnd"/>
          </w:p>
        </w:tc>
        <w:tc>
          <w:tcPr>
            <w:tcW w:w="689" w:type="dxa"/>
            <w:tcBorders>
              <w:top w:val="single" w:sz="4" w:space="0" w:color="auto"/>
              <w:left w:val="single" w:sz="4" w:space="0" w:color="auto"/>
              <w:bottom w:val="single" w:sz="4" w:space="0" w:color="auto"/>
              <w:right w:val="single" w:sz="4" w:space="0" w:color="auto"/>
            </w:tcBorders>
            <w:shd w:val="clear" w:color="000000" w:fill="C6E6D0"/>
            <w:noWrap/>
            <w:vAlign w:val="bottom"/>
            <w:hideMark/>
          </w:tcPr>
          <w:p w14:paraId="7FEB7470"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57%</w:t>
            </w:r>
          </w:p>
        </w:tc>
        <w:tc>
          <w:tcPr>
            <w:tcW w:w="1109" w:type="dxa"/>
            <w:tcBorders>
              <w:top w:val="single" w:sz="4" w:space="0" w:color="auto"/>
              <w:left w:val="single" w:sz="4" w:space="0" w:color="auto"/>
              <w:bottom w:val="single" w:sz="4" w:space="0" w:color="auto"/>
              <w:right w:val="single" w:sz="4" w:space="0" w:color="auto"/>
            </w:tcBorders>
            <w:shd w:val="clear" w:color="000000" w:fill="F9A8AA"/>
            <w:noWrap/>
            <w:vAlign w:val="bottom"/>
            <w:hideMark/>
          </w:tcPr>
          <w:p w14:paraId="06DEDD62"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14%</w:t>
            </w:r>
          </w:p>
        </w:tc>
        <w:tc>
          <w:tcPr>
            <w:tcW w:w="939" w:type="dxa"/>
            <w:tcBorders>
              <w:top w:val="single" w:sz="4" w:space="0" w:color="auto"/>
              <w:left w:val="single" w:sz="4" w:space="0" w:color="auto"/>
              <w:bottom w:val="single" w:sz="4" w:space="0" w:color="auto"/>
              <w:right w:val="single" w:sz="4" w:space="0" w:color="auto"/>
            </w:tcBorders>
            <w:shd w:val="clear" w:color="000000" w:fill="F9A8AA"/>
            <w:noWrap/>
            <w:vAlign w:val="bottom"/>
            <w:hideMark/>
          </w:tcPr>
          <w:p w14:paraId="2EDFB346"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14%</w:t>
            </w:r>
          </w:p>
        </w:tc>
        <w:tc>
          <w:tcPr>
            <w:tcW w:w="887"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56ED4085"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0%</w:t>
            </w:r>
          </w:p>
        </w:tc>
        <w:tc>
          <w:tcPr>
            <w:tcW w:w="868" w:type="dxa"/>
            <w:tcBorders>
              <w:top w:val="single" w:sz="4" w:space="0" w:color="auto"/>
              <w:left w:val="single" w:sz="4" w:space="0" w:color="auto"/>
              <w:bottom w:val="single" w:sz="4" w:space="0" w:color="auto"/>
              <w:right w:val="single" w:sz="4" w:space="0" w:color="auto"/>
            </w:tcBorders>
            <w:shd w:val="clear" w:color="000000" w:fill="F9A8AA"/>
            <w:noWrap/>
            <w:vAlign w:val="bottom"/>
            <w:hideMark/>
          </w:tcPr>
          <w:p w14:paraId="66D12214"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14%</w:t>
            </w:r>
          </w:p>
        </w:tc>
        <w:tc>
          <w:tcPr>
            <w:tcW w:w="1039" w:type="dxa"/>
            <w:tcBorders>
              <w:top w:val="single" w:sz="4" w:space="0" w:color="auto"/>
              <w:left w:val="single" w:sz="4" w:space="0" w:color="auto"/>
              <w:bottom w:val="single" w:sz="4" w:space="0" w:color="auto"/>
              <w:right w:val="single" w:sz="4" w:space="0" w:color="auto"/>
            </w:tcBorders>
            <w:shd w:val="clear" w:color="000000" w:fill="FBE7E9"/>
            <w:noWrap/>
            <w:vAlign w:val="bottom"/>
            <w:hideMark/>
          </w:tcPr>
          <w:p w14:paraId="00154B76"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29%</w:t>
            </w:r>
          </w:p>
        </w:tc>
        <w:tc>
          <w:tcPr>
            <w:tcW w:w="794" w:type="dxa"/>
            <w:tcBorders>
              <w:top w:val="single" w:sz="4" w:space="0" w:color="auto"/>
              <w:left w:val="single" w:sz="4" w:space="0" w:color="auto"/>
              <w:bottom w:val="single" w:sz="4" w:space="0" w:color="auto"/>
              <w:right w:val="single" w:sz="4" w:space="0" w:color="auto"/>
            </w:tcBorders>
            <w:shd w:val="clear" w:color="000000" w:fill="FAC7CA"/>
            <w:noWrap/>
            <w:vAlign w:val="bottom"/>
            <w:hideMark/>
          </w:tcPr>
          <w:p w14:paraId="4BFC9A73"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21%</w:t>
            </w:r>
          </w:p>
        </w:tc>
      </w:tr>
      <w:tr w:rsidR="009312C1" w:rsidRPr="009312C1" w14:paraId="3A68E308" w14:textId="77777777" w:rsidTr="009312C1">
        <w:trPr>
          <w:trHeight w:val="255"/>
        </w:trPr>
        <w:tc>
          <w:tcPr>
            <w:tcW w:w="2235" w:type="dxa"/>
            <w:tcBorders>
              <w:top w:val="nil"/>
              <w:left w:val="single" w:sz="4" w:space="0" w:color="auto"/>
              <w:bottom w:val="nil"/>
              <w:right w:val="single" w:sz="4" w:space="0" w:color="auto"/>
            </w:tcBorders>
            <w:shd w:val="clear" w:color="auto" w:fill="auto"/>
            <w:noWrap/>
            <w:vAlign w:val="bottom"/>
            <w:hideMark/>
          </w:tcPr>
          <w:p w14:paraId="79A732A9" w14:textId="7F7121B3" w:rsidR="009312C1" w:rsidRPr="009312C1" w:rsidRDefault="009312C1" w:rsidP="009312C1">
            <w:pPr>
              <w:rPr>
                <w:rFonts w:ascii="Arial" w:eastAsia="Times New Roman" w:hAnsi="Arial" w:cs="Arial"/>
                <w:sz w:val="20"/>
                <w:szCs w:val="20"/>
                <w:lang w:val="en-US"/>
              </w:rPr>
            </w:pPr>
            <w:proofErr w:type="spellStart"/>
            <w:r w:rsidRPr="009312C1">
              <w:rPr>
                <w:rFonts w:ascii="Arial" w:eastAsia="Times New Roman" w:hAnsi="Arial" w:cs="Arial"/>
                <w:sz w:val="20"/>
                <w:szCs w:val="20"/>
                <w:lang w:val="en-US"/>
              </w:rPr>
              <w:t>Технички</w:t>
            </w:r>
            <w:proofErr w:type="spellEnd"/>
            <w:r w:rsidRPr="009312C1">
              <w:rPr>
                <w:rFonts w:ascii="Arial" w:eastAsia="Times New Roman" w:hAnsi="Arial" w:cs="Arial"/>
                <w:sz w:val="20"/>
                <w:szCs w:val="20"/>
                <w:lang w:val="en-US"/>
              </w:rPr>
              <w:t xml:space="preserve"> </w:t>
            </w:r>
            <w:proofErr w:type="spellStart"/>
            <w:r w:rsidRPr="009312C1">
              <w:rPr>
                <w:rFonts w:ascii="Arial" w:eastAsia="Times New Roman" w:hAnsi="Arial" w:cs="Arial"/>
                <w:sz w:val="20"/>
                <w:szCs w:val="20"/>
                <w:lang w:val="en-US"/>
              </w:rPr>
              <w:t>захтеви</w:t>
            </w:r>
            <w:proofErr w:type="spellEnd"/>
          </w:p>
        </w:tc>
        <w:tc>
          <w:tcPr>
            <w:tcW w:w="689" w:type="dxa"/>
            <w:tcBorders>
              <w:top w:val="single" w:sz="4" w:space="0" w:color="auto"/>
              <w:left w:val="single" w:sz="4" w:space="0" w:color="auto"/>
              <w:bottom w:val="single" w:sz="4" w:space="0" w:color="auto"/>
              <w:right w:val="single" w:sz="4" w:space="0" w:color="auto"/>
            </w:tcBorders>
            <w:shd w:val="clear" w:color="000000" w:fill="8ACE9C"/>
            <w:noWrap/>
            <w:vAlign w:val="bottom"/>
            <w:hideMark/>
          </w:tcPr>
          <w:p w14:paraId="1E4F7821"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83%</w:t>
            </w:r>
          </w:p>
        </w:tc>
        <w:tc>
          <w:tcPr>
            <w:tcW w:w="1109" w:type="dxa"/>
            <w:tcBorders>
              <w:top w:val="single" w:sz="4" w:space="0" w:color="auto"/>
              <w:left w:val="single" w:sz="4" w:space="0" w:color="auto"/>
              <w:bottom w:val="single" w:sz="4" w:space="0" w:color="auto"/>
              <w:right w:val="single" w:sz="4" w:space="0" w:color="auto"/>
            </w:tcBorders>
            <w:shd w:val="clear" w:color="000000" w:fill="B0DDBD"/>
            <w:noWrap/>
            <w:vAlign w:val="bottom"/>
            <w:hideMark/>
          </w:tcPr>
          <w:p w14:paraId="69C051D8"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67%</w:t>
            </w:r>
          </w:p>
        </w:tc>
        <w:tc>
          <w:tcPr>
            <w:tcW w:w="939" w:type="dxa"/>
            <w:tcBorders>
              <w:top w:val="single" w:sz="4" w:space="0" w:color="auto"/>
              <w:left w:val="single" w:sz="4" w:space="0" w:color="auto"/>
              <w:bottom w:val="single" w:sz="4" w:space="0" w:color="auto"/>
              <w:right w:val="single" w:sz="4" w:space="0" w:color="auto"/>
            </w:tcBorders>
            <w:shd w:val="clear" w:color="000000" w:fill="FCFCFF"/>
            <w:noWrap/>
            <w:vAlign w:val="bottom"/>
            <w:hideMark/>
          </w:tcPr>
          <w:p w14:paraId="1210ACBB"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33%</w:t>
            </w:r>
          </w:p>
        </w:tc>
        <w:tc>
          <w:tcPr>
            <w:tcW w:w="887" w:type="dxa"/>
            <w:tcBorders>
              <w:top w:val="single" w:sz="4" w:space="0" w:color="auto"/>
              <w:left w:val="single" w:sz="4" w:space="0" w:color="auto"/>
              <w:bottom w:val="single" w:sz="4" w:space="0" w:color="auto"/>
              <w:right w:val="single" w:sz="4" w:space="0" w:color="auto"/>
            </w:tcBorders>
            <w:shd w:val="clear" w:color="000000" w:fill="B0DDBD"/>
            <w:noWrap/>
            <w:vAlign w:val="bottom"/>
            <w:hideMark/>
          </w:tcPr>
          <w:p w14:paraId="24BF2C92"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67%</w:t>
            </w:r>
          </w:p>
        </w:tc>
        <w:tc>
          <w:tcPr>
            <w:tcW w:w="868" w:type="dxa"/>
            <w:tcBorders>
              <w:top w:val="single" w:sz="4" w:space="0" w:color="auto"/>
              <w:left w:val="single" w:sz="4" w:space="0" w:color="auto"/>
              <w:bottom w:val="single" w:sz="4" w:space="0" w:color="auto"/>
              <w:right w:val="single" w:sz="4" w:space="0" w:color="auto"/>
            </w:tcBorders>
            <w:shd w:val="clear" w:color="000000" w:fill="FCFCFF"/>
            <w:noWrap/>
            <w:vAlign w:val="bottom"/>
            <w:hideMark/>
          </w:tcPr>
          <w:p w14:paraId="551D9E13"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33%</w:t>
            </w:r>
          </w:p>
        </w:tc>
        <w:tc>
          <w:tcPr>
            <w:tcW w:w="1039" w:type="dxa"/>
            <w:tcBorders>
              <w:top w:val="single" w:sz="4" w:space="0" w:color="auto"/>
              <w:left w:val="single" w:sz="4" w:space="0" w:color="auto"/>
              <w:bottom w:val="single" w:sz="4" w:space="0" w:color="auto"/>
              <w:right w:val="single" w:sz="4" w:space="0" w:color="auto"/>
            </w:tcBorders>
            <w:shd w:val="clear" w:color="000000" w:fill="FCFCFF"/>
            <w:noWrap/>
            <w:vAlign w:val="bottom"/>
            <w:hideMark/>
          </w:tcPr>
          <w:p w14:paraId="6C463237"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33%</w:t>
            </w:r>
          </w:p>
        </w:tc>
        <w:tc>
          <w:tcPr>
            <w:tcW w:w="794" w:type="dxa"/>
            <w:tcBorders>
              <w:top w:val="single" w:sz="4" w:space="0" w:color="auto"/>
              <w:left w:val="single" w:sz="4" w:space="0" w:color="auto"/>
              <w:bottom w:val="single" w:sz="4" w:space="0" w:color="auto"/>
              <w:right w:val="single" w:sz="4" w:space="0" w:color="auto"/>
            </w:tcBorders>
            <w:shd w:val="clear" w:color="000000" w:fill="D0EAD9"/>
            <w:noWrap/>
            <w:vAlign w:val="bottom"/>
            <w:hideMark/>
          </w:tcPr>
          <w:p w14:paraId="5C0156B9" w14:textId="77777777" w:rsidR="009312C1" w:rsidRPr="009312C1" w:rsidRDefault="009312C1" w:rsidP="009312C1">
            <w:pPr>
              <w:jc w:val="right"/>
              <w:rPr>
                <w:rFonts w:ascii="Arial" w:eastAsia="Times New Roman" w:hAnsi="Arial" w:cs="Arial"/>
                <w:sz w:val="20"/>
                <w:szCs w:val="20"/>
                <w:lang w:val="en-US"/>
              </w:rPr>
            </w:pPr>
            <w:r w:rsidRPr="009312C1">
              <w:rPr>
                <w:rFonts w:ascii="Arial" w:eastAsia="Times New Roman" w:hAnsi="Arial" w:cs="Arial"/>
                <w:sz w:val="20"/>
                <w:szCs w:val="20"/>
                <w:lang w:val="en-US"/>
              </w:rPr>
              <w:t>53%</w:t>
            </w:r>
          </w:p>
        </w:tc>
      </w:tr>
      <w:tr w:rsidR="009312C1" w:rsidRPr="009312C1" w14:paraId="72DE43ED" w14:textId="77777777" w:rsidTr="009312C1">
        <w:trPr>
          <w:trHeight w:val="255"/>
        </w:trPr>
        <w:tc>
          <w:tcPr>
            <w:tcW w:w="2235" w:type="dxa"/>
            <w:tcBorders>
              <w:top w:val="single" w:sz="4" w:space="0" w:color="auto"/>
              <w:left w:val="nil"/>
              <w:bottom w:val="nil"/>
              <w:right w:val="nil"/>
            </w:tcBorders>
            <w:shd w:val="clear" w:color="auto" w:fill="auto"/>
            <w:noWrap/>
            <w:vAlign w:val="bottom"/>
            <w:hideMark/>
          </w:tcPr>
          <w:p w14:paraId="64DA6BFE" w14:textId="77777777" w:rsidR="009312C1" w:rsidRPr="009312C1" w:rsidRDefault="009312C1" w:rsidP="009312C1">
            <w:pPr>
              <w:rPr>
                <w:rFonts w:ascii="Arial" w:eastAsia="Times New Roman" w:hAnsi="Arial" w:cs="Arial"/>
                <w:b/>
                <w:bCs/>
                <w:sz w:val="20"/>
                <w:szCs w:val="20"/>
                <w:lang w:val="en-US"/>
              </w:rPr>
            </w:pPr>
            <w:r w:rsidRPr="009312C1">
              <w:rPr>
                <w:rFonts w:ascii="Arial" w:eastAsia="Times New Roman" w:hAnsi="Arial" w:cs="Arial"/>
                <w:b/>
                <w:bCs/>
                <w:sz w:val="20"/>
                <w:szCs w:val="20"/>
                <w:lang w:val="en-US"/>
              </w:rPr>
              <w:t>УКУПНО</w:t>
            </w:r>
          </w:p>
        </w:tc>
        <w:tc>
          <w:tcPr>
            <w:tcW w:w="689" w:type="dxa"/>
            <w:tcBorders>
              <w:top w:val="nil"/>
              <w:left w:val="nil"/>
              <w:bottom w:val="nil"/>
              <w:right w:val="nil"/>
            </w:tcBorders>
            <w:shd w:val="clear" w:color="auto" w:fill="auto"/>
            <w:noWrap/>
            <w:vAlign w:val="bottom"/>
            <w:hideMark/>
          </w:tcPr>
          <w:p w14:paraId="2A6DD10E" w14:textId="77777777" w:rsidR="009312C1" w:rsidRPr="009312C1" w:rsidRDefault="009312C1" w:rsidP="009312C1">
            <w:pPr>
              <w:jc w:val="right"/>
              <w:rPr>
                <w:rFonts w:ascii="Arial" w:eastAsia="Times New Roman" w:hAnsi="Arial" w:cs="Arial"/>
                <w:b/>
                <w:bCs/>
                <w:sz w:val="20"/>
                <w:szCs w:val="20"/>
                <w:lang w:val="en-US"/>
              </w:rPr>
            </w:pPr>
            <w:r w:rsidRPr="009312C1">
              <w:rPr>
                <w:rFonts w:ascii="Arial" w:eastAsia="Times New Roman" w:hAnsi="Arial" w:cs="Arial"/>
                <w:b/>
                <w:bCs/>
                <w:sz w:val="20"/>
                <w:szCs w:val="20"/>
                <w:lang w:val="en-US"/>
              </w:rPr>
              <w:t>61%</w:t>
            </w:r>
          </w:p>
        </w:tc>
        <w:tc>
          <w:tcPr>
            <w:tcW w:w="1109" w:type="dxa"/>
            <w:tcBorders>
              <w:top w:val="nil"/>
              <w:left w:val="nil"/>
              <w:bottom w:val="nil"/>
              <w:right w:val="nil"/>
            </w:tcBorders>
            <w:shd w:val="clear" w:color="auto" w:fill="auto"/>
            <w:noWrap/>
            <w:vAlign w:val="bottom"/>
            <w:hideMark/>
          </w:tcPr>
          <w:p w14:paraId="51F9E17F" w14:textId="77777777" w:rsidR="009312C1" w:rsidRPr="009312C1" w:rsidRDefault="009312C1" w:rsidP="009312C1">
            <w:pPr>
              <w:jc w:val="right"/>
              <w:rPr>
                <w:rFonts w:ascii="Arial" w:eastAsia="Times New Roman" w:hAnsi="Arial" w:cs="Arial"/>
                <w:b/>
                <w:bCs/>
                <w:sz w:val="20"/>
                <w:szCs w:val="20"/>
                <w:lang w:val="en-US"/>
              </w:rPr>
            </w:pPr>
            <w:r w:rsidRPr="009312C1">
              <w:rPr>
                <w:rFonts w:ascii="Arial" w:eastAsia="Times New Roman" w:hAnsi="Arial" w:cs="Arial"/>
                <w:b/>
                <w:bCs/>
                <w:sz w:val="20"/>
                <w:szCs w:val="20"/>
                <w:lang w:val="en-US"/>
              </w:rPr>
              <w:t>56%</w:t>
            </w:r>
          </w:p>
        </w:tc>
        <w:tc>
          <w:tcPr>
            <w:tcW w:w="939" w:type="dxa"/>
            <w:tcBorders>
              <w:top w:val="single" w:sz="4" w:space="0" w:color="auto"/>
              <w:left w:val="nil"/>
              <w:bottom w:val="nil"/>
              <w:right w:val="nil"/>
            </w:tcBorders>
            <w:shd w:val="clear" w:color="auto" w:fill="auto"/>
            <w:noWrap/>
            <w:vAlign w:val="bottom"/>
            <w:hideMark/>
          </w:tcPr>
          <w:p w14:paraId="7A4CB60D" w14:textId="77777777" w:rsidR="009312C1" w:rsidRPr="009312C1" w:rsidRDefault="009312C1" w:rsidP="009312C1">
            <w:pPr>
              <w:jc w:val="right"/>
              <w:rPr>
                <w:rFonts w:ascii="Arial" w:eastAsia="Times New Roman" w:hAnsi="Arial" w:cs="Arial"/>
                <w:b/>
                <w:bCs/>
                <w:sz w:val="20"/>
                <w:szCs w:val="20"/>
                <w:lang w:val="en-US"/>
              </w:rPr>
            </w:pPr>
            <w:r w:rsidRPr="009312C1">
              <w:rPr>
                <w:rFonts w:ascii="Arial" w:eastAsia="Times New Roman" w:hAnsi="Arial" w:cs="Arial"/>
                <w:b/>
                <w:bCs/>
                <w:sz w:val="20"/>
                <w:szCs w:val="20"/>
                <w:lang w:val="en-US"/>
              </w:rPr>
              <w:t>30%</w:t>
            </w:r>
          </w:p>
        </w:tc>
        <w:tc>
          <w:tcPr>
            <w:tcW w:w="887" w:type="dxa"/>
            <w:tcBorders>
              <w:top w:val="nil"/>
              <w:left w:val="nil"/>
              <w:bottom w:val="nil"/>
              <w:right w:val="nil"/>
            </w:tcBorders>
            <w:shd w:val="clear" w:color="auto" w:fill="auto"/>
            <w:noWrap/>
            <w:vAlign w:val="bottom"/>
            <w:hideMark/>
          </w:tcPr>
          <w:p w14:paraId="6BF106A8" w14:textId="77777777" w:rsidR="009312C1" w:rsidRPr="009312C1" w:rsidRDefault="009312C1" w:rsidP="009312C1">
            <w:pPr>
              <w:jc w:val="right"/>
              <w:rPr>
                <w:rFonts w:ascii="Arial" w:eastAsia="Times New Roman" w:hAnsi="Arial" w:cs="Arial"/>
                <w:b/>
                <w:bCs/>
                <w:sz w:val="20"/>
                <w:szCs w:val="20"/>
                <w:lang w:val="en-US"/>
              </w:rPr>
            </w:pPr>
            <w:r w:rsidRPr="009312C1">
              <w:rPr>
                <w:rFonts w:ascii="Arial" w:eastAsia="Times New Roman" w:hAnsi="Arial" w:cs="Arial"/>
                <w:b/>
                <w:bCs/>
                <w:sz w:val="20"/>
                <w:szCs w:val="20"/>
                <w:lang w:val="en-US"/>
              </w:rPr>
              <w:t>36%</w:t>
            </w:r>
          </w:p>
        </w:tc>
        <w:tc>
          <w:tcPr>
            <w:tcW w:w="868" w:type="dxa"/>
            <w:tcBorders>
              <w:top w:val="nil"/>
              <w:left w:val="nil"/>
              <w:bottom w:val="nil"/>
              <w:right w:val="nil"/>
            </w:tcBorders>
            <w:shd w:val="clear" w:color="auto" w:fill="auto"/>
            <w:noWrap/>
            <w:vAlign w:val="bottom"/>
            <w:hideMark/>
          </w:tcPr>
          <w:p w14:paraId="189957A4" w14:textId="77777777" w:rsidR="009312C1" w:rsidRPr="009312C1" w:rsidRDefault="009312C1" w:rsidP="009312C1">
            <w:pPr>
              <w:jc w:val="right"/>
              <w:rPr>
                <w:rFonts w:ascii="Arial" w:eastAsia="Times New Roman" w:hAnsi="Arial" w:cs="Arial"/>
                <w:b/>
                <w:bCs/>
                <w:sz w:val="20"/>
                <w:szCs w:val="20"/>
                <w:lang w:val="en-US"/>
              </w:rPr>
            </w:pPr>
            <w:r w:rsidRPr="009312C1">
              <w:rPr>
                <w:rFonts w:ascii="Arial" w:eastAsia="Times New Roman" w:hAnsi="Arial" w:cs="Arial"/>
                <w:b/>
                <w:bCs/>
                <w:sz w:val="20"/>
                <w:szCs w:val="20"/>
                <w:lang w:val="en-US"/>
              </w:rPr>
              <w:t>38%</w:t>
            </w:r>
          </w:p>
        </w:tc>
        <w:tc>
          <w:tcPr>
            <w:tcW w:w="1039" w:type="dxa"/>
            <w:tcBorders>
              <w:top w:val="nil"/>
              <w:left w:val="nil"/>
              <w:bottom w:val="nil"/>
              <w:right w:val="nil"/>
            </w:tcBorders>
            <w:shd w:val="clear" w:color="auto" w:fill="auto"/>
            <w:noWrap/>
            <w:vAlign w:val="bottom"/>
            <w:hideMark/>
          </w:tcPr>
          <w:p w14:paraId="4DC3E4C0" w14:textId="77777777" w:rsidR="009312C1" w:rsidRPr="009312C1" w:rsidRDefault="009312C1" w:rsidP="009312C1">
            <w:pPr>
              <w:jc w:val="right"/>
              <w:rPr>
                <w:rFonts w:ascii="Arial" w:eastAsia="Times New Roman" w:hAnsi="Arial" w:cs="Arial"/>
                <w:b/>
                <w:bCs/>
                <w:sz w:val="20"/>
                <w:szCs w:val="20"/>
                <w:lang w:val="en-US"/>
              </w:rPr>
            </w:pPr>
            <w:r w:rsidRPr="009312C1">
              <w:rPr>
                <w:rFonts w:ascii="Arial" w:eastAsia="Times New Roman" w:hAnsi="Arial" w:cs="Arial"/>
                <w:b/>
                <w:bCs/>
                <w:sz w:val="20"/>
                <w:szCs w:val="20"/>
                <w:lang w:val="en-US"/>
              </w:rPr>
              <w:t>31%</w:t>
            </w:r>
          </w:p>
        </w:tc>
        <w:tc>
          <w:tcPr>
            <w:tcW w:w="794" w:type="dxa"/>
            <w:tcBorders>
              <w:top w:val="nil"/>
              <w:left w:val="nil"/>
              <w:bottom w:val="nil"/>
              <w:right w:val="nil"/>
            </w:tcBorders>
            <w:shd w:val="clear" w:color="auto" w:fill="auto"/>
            <w:noWrap/>
            <w:vAlign w:val="bottom"/>
            <w:hideMark/>
          </w:tcPr>
          <w:p w14:paraId="6F2B8019" w14:textId="77777777" w:rsidR="009312C1" w:rsidRPr="009312C1" w:rsidRDefault="009312C1" w:rsidP="009312C1">
            <w:pPr>
              <w:jc w:val="right"/>
              <w:rPr>
                <w:rFonts w:ascii="Arial" w:eastAsia="Times New Roman" w:hAnsi="Arial" w:cs="Arial"/>
                <w:b/>
                <w:bCs/>
                <w:sz w:val="20"/>
                <w:szCs w:val="20"/>
                <w:lang w:val="en-US"/>
              </w:rPr>
            </w:pPr>
          </w:p>
        </w:tc>
      </w:tr>
    </w:tbl>
    <w:p w14:paraId="7F3C67C2" w14:textId="77777777" w:rsidR="004C100B" w:rsidRDefault="004C100B" w:rsidP="00A85627">
      <w:pPr>
        <w:pStyle w:val="Tekst"/>
      </w:pPr>
    </w:p>
    <w:p w14:paraId="4866550D" w14:textId="529C0630" w:rsidR="00C66018" w:rsidRDefault="0016642A" w:rsidP="00C66018">
      <w:pPr>
        <w:pStyle w:val="Tekst"/>
      </w:pPr>
      <w:r>
        <w:t>Уочавамо да је најинтензивније црвеном бојом обојено подру</w:t>
      </w:r>
      <w:r w:rsidR="00C66018">
        <w:t>чје</w:t>
      </w:r>
      <w:r>
        <w:t xml:space="preserve"> </w:t>
      </w:r>
      <w:r w:rsidR="00C66018">
        <w:rPr>
          <w:b/>
        </w:rPr>
        <w:t>Планови</w:t>
      </w:r>
      <w:r w:rsidRPr="00C66018">
        <w:rPr>
          <w:b/>
        </w:rPr>
        <w:t xml:space="preserve"> рада</w:t>
      </w:r>
      <w:r>
        <w:t xml:space="preserve">. </w:t>
      </w:r>
      <w:r w:rsidR="003720A8">
        <w:t xml:space="preserve">Разлог је што ни једна инспекцијска служба није објавила планове рада онако како то предвиђа Закон о инспекцијском надзору у члановима 10 и 13. </w:t>
      </w:r>
      <w:r w:rsidR="00AD0280">
        <w:t xml:space="preserve">Овај недостатак се врло брзо може ублажити објављивањем стратешког, годишњег и оперативног плана рада, који су вероватно већ израђени. Напредна опција би била објављивање планираног надзора, као што је на пример урадила Санитарна инспекција </w:t>
      </w:r>
      <w:r w:rsidR="00C66018">
        <w:t>АП Војводине на својој интернет страници</w:t>
      </w:r>
      <w:r w:rsidR="00C66018">
        <w:rPr>
          <w:rStyle w:val="FootnoteReference"/>
        </w:rPr>
        <w:footnoteReference w:id="20"/>
      </w:r>
      <w:r w:rsidR="00C66018">
        <w:t>.</w:t>
      </w:r>
    </w:p>
    <w:p w14:paraId="7AE4EA4F" w14:textId="150C6965" w:rsidR="00C66018" w:rsidRDefault="00C66018" w:rsidP="00C66018">
      <w:pPr>
        <w:pStyle w:val="Tekst"/>
      </w:pPr>
      <w:r>
        <w:t xml:space="preserve">Наредна проблематична секција, предвиђена ЗИН-ом у члановима 8 и 144 је секција </w:t>
      </w:r>
      <w:r w:rsidRPr="00C66018">
        <w:rPr>
          <w:b/>
        </w:rPr>
        <w:t>Извештаји</w:t>
      </w:r>
      <w:r>
        <w:rPr>
          <w:b/>
        </w:rPr>
        <w:t xml:space="preserve">. </w:t>
      </w:r>
      <w:r>
        <w:t xml:space="preserve">Најчешћи је случај </w:t>
      </w:r>
      <w:proofErr w:type="spellStart"/>
      <w:r>
        <w:t>необјављивања</w:t>
      </w:r>
      <w:proofErr w:type="spellEnd"/>
      <w:r>
        <w:t xml:space="preserve"> извештаја, док се издваја туристичка инспекција која је објавила извештај за претходну 2015 годину на једној страни. Ни ова, као ни било која друга инспекцијска </w:t>
      </w:r>
      <w:r w:rsidR="00A71D8B">
        <w:t>служба није објавила списак надзираних субјеката, који је предвиђен чланом 8 ЗИН-а.</w:t>
      </w:r>
    </w:p>
    <w:p w14:paraId="040FE56B" w14:textId="627D7ADD" w:rsidR="00A71D8B" w:rsidRDefault="00A71D8B" w:rsidP="00C66018">
      <w:pPr>
        <w:pStyle w:val="Tekst"/>
      </w:pPr>
      <w:r w:rsidRPr="00660F9C">
        <w:rPr>
          <w:b/>
        </w:rPr>
        <w:t>Комуникација</w:t>
      </w:r>
      <w:r>
        <w:t xml:space="preserve"> је следећи критични сегмент. Презентације веома често садрже контакт податке за инспекцијске службе и </w:t>
      </w:r>
      <w:proofErr w:type="spellStart"/>
      <w:r w:rsidR="000D2675">
        <w:rPr>
          <w:lang w:val="sr-Latn-RS"/>
        </w:rPr>
        <w:t>канцеларије</w:t>
      </w:r>
      <w:proofErr w:type="spellEnd"/>
      <w:r w:rsidR="000D2675">
        <w:rPr>
          <w:lang w:val="sr-Latn-RS"/>
        </w:rPr>
        <w:t xml:space="preserve"> у </w:t>
      </w:r>
      <w:proofErr w:type="spellStart"/>
      <w:r w:rsidR="000D2675">
        <w:rPr>
          <w:lang w:val="sr-Latn-RS"/>
        </w:rPr>
        <w:t>облику</w:t>
      </w:r>
      <w:proofErr w:type="spellEnd"/>
      <w:r w:rsidR="000D2675">
        <w:rPr>
          <w:lang w:val="sr-Latn-RS"/>
        </w:rPr>
        <w:t xml:space="preserve"> </w:t>
      </w:r>
      <w:proofErr w:type="spellStart"/>
      <w:r w:rsidR="000D2675">
        <w:rPr>
          <w:lang w:val="sr-Latn-RS"/>
        </w:rPr>
        <w:t>документа</w:t>
      </w:r>
      <w:proofErr w:type="spellEnd"/>
      <w:r w:rsidR="000D2675">
        <w:rPr>
          <w:lang w:val="sr-Latn-RS"/>
        </w:rPr>
        <w:t xml:space="preserve">, </w:t>
      </w:r>
      <w:proofErr w:type="spellStart"/>
      <w:r w:rsidR="000D2675">
        <w:rPr>
          <w:lang w:val="sr-Latn-RS"/>
        </w:rPr>
        <w:t>умес</w:t>
      </w:r>
      <w:proofErr w:type="spellEnd"/>
      <w:r w:rsidR="000D2675">
        <w:t xml:space="preserve">то да се налазе на интернет страници. </w:t>
      </w:r>
      <w:r w:rsidR="000D2675">
        <w:lastRenderedPageBreak/>
        <w:t xml:space="preserve">Претраживање података од стране аутоматских претраживача и посетилаца сајта је отежано уколико се они налазе склоњени у документа. </w:t>
      </w:r>
    </w:p>
    <w:p w14:paraId="336FD298" w14:textId="49249967" w:rsidR="004C100B" w:rsidRDefault="004C100B" w:rsidP="004C100B">
      <w:pPr>
        <w:pStyle w:val="Tekst"/>
        <w:ind w:firstLine="0"/>
      </w:pPr>
      <w:r>
        <w:rPr>
          <w:noProof/>
          <w:lang w:val="en-US"/>
        </w:rPr>
        <w:drawing>
          <wp:inline distT="0" distB="0" distL="0" distR="0" wp14:anchorId="1C1DEA66" wp14:editId="5C2BCAFB">
            <wp:extent cx="5805488" cy="3257551"/>
            <wp:effectExtent l="0" t="0" r="508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B6568B3" w14:textId="3843B8C1" w:rsidR="004C100B" w:rsidRDefault="001B7C12" w:rsidP="00BA63E5">
      <w:pPr>
        <w:pStyle w:val="Tekst"/>
      </w:pPr>
      <w:r>
        <w:t xml:space="preserve">У претходној табели су исти подаци представљени визуелно. Примећује се да је секција са </w:t>
      </w:r>
      <w:r w:rsidRPr="001B7C12">
        <w:rPr>
          <w:b/>
        </w:rPr>
        <w:t>Контролним листама</w:t>
      </w:r>
      <w:r>
        <w:t xml:space="preserve"> уједначено средње оцењена. Разлог је што су </w:t>
      </w:r>
      <w:r w:rsidR="00BA63E5">
        <w:t xml:space="preserve">Контролне листе </w:t>
      </w:r>
      <w:r>
        <w:t>прихваћене од стране инспекција</w:t>
      </w:r>
      <w:r w:rsidR="00BA63E5">
        <w:t xml:space="preserve">. </w:t>
      </w:r>
      <w:r>
        <w:t>Ипак, технички аспект коришћења контролних листа није усвојен</w:t>
      </w:r>
      <w:r w:rsidR="00BA63E5">
        <w:t>. Није јасно да ли инспектори штампају контролне листе па их након попуњавања прекуцавају у електронски облик или их не пребацују уопште у електронски облик. Извесно је да контролне листе онако како су објављене није могуће попуњавати а самим тим ни накнадно анализиране на рачунару. Због тога је анекс овог документа, електронска табела, припремљен тако да може лако да се преправи у контролну листу. Овај документ омогућава попуњавање листе на рачунару, аутоматско бодовање, сабирање и рачунање категорије ризика.</w:t>
      </w:r>
    </w:p>
    <w:p w14:paraId="19139796" w14:textId="442971B4" w:rsidR="00BA63E5" w:rsidRDefault="00BA63E5" w:rsidP="00BA63E5">
      <w:pPr>
        <w:pStyle w:val="Tekst"/>
      </w:pPr>
      <w:r w:rsidRPr="00BA63E5">
        <w:rPr>
          <w:b/>
        </w:rPr>
        <w:t>Прописи</w:t>
      </w:r>
      <w:r>
        <w:t xml:space="preserve"> су у великом броју случајева објављени али углавном нису одвојени </w:t>
      </w:r>
      <w:r w:rsidR="00056560">
        <w:t xml:space="preserve">од других прописа надлежног министарства, што отежава сналажење. </w:t>
      </w:r>
      <w:r w:rsidR="00BE34AA">
        <w:t>Због тога још једном препорука да презентација инспекције треба да буде одвојена целина, макар на поддомену, добија нову ноту.</w:t>
      </w:r>
      <w:r w:rsidR="00003864">
        <w:t xml:space="preserve"> Инспекције не објављују информације о променама прописа, што је предвиђено чланом 13 ЗИН-а док је Акта о примени прописа, која се објављују по члану 31 ЗИН-а објавио једино Инспекторат за рад. Интересантно је </w:t>
      </w:r>
      <w:r w:rsidR="00F55E69">
        <w:t xml:space="preserve">приметити </w:t>
      </w:r>
      <w:r w:rsidR="00003864">
        <w:t xml:space="preserve">да је члановима </w:t>
      </w:r>
      <w:r w:rsidR="00F55E69">
        <w:t>који се састоје од истих цифара (</w:t>
      </w:r>
      <w:r w:rsidR="00003864">
        <w:t>13 и 31</w:t>
      </w:r>
      <w:r w:rsidR="00F55E69">
        <w:t>)</w:t>
      </w:r>
      <w:r w:rsidR="00003864">
        <w:t xml:space="preserve"> предвиђена објава пр</w:t>
      </w:r>
      <w:r w:rsidR="00003864" w:rsidRPr="00003864">
        <w:rPr>
          <w:b/>
        </w:rPr>
        <w:t>о</w:t>
      </w:r>
      <w:r w:rsidR="00003864">
        <w:t>мене</w:t>
      </w:r>
      <w:r w:rsidR="00F55E69">
        <w:t xml:space="preserve"> односно</w:t>
      </w:r>
      <w:r w:rsidR="00003864">
        <w:t xml:space="preserve"> пр</w:t>
      </w:r>
      <w:r w:rsidR="00003864" w:rsidRPr="00003864">
        <w:rPr>
          <w:b/>
        </w:rPr>
        <w:t>и</w:t>
      </w:r>
      <w:r w:rsidR="00003864">
        <w:t>мене прописа</w:t>
      </w:r>
      <w:r w:rsidR="00F55E69">
        <w:t>, речи које се разликују за једно слово</w:t>
      </w:r>
      <w:r w:rsidR="00003864">
        <w:t>.</w:t>
      </w:r>
    </w:p>
    <w:p w14:paraId="7B0B464F" w14:textId="2ED81B4F" w:rsidR="000F17C6" w:rsidRDefault="000F17C6" w:rsidP="000F17C6">
      <w:pPr>
        <w:pStyle w:val="Tekst"/>
      </w:pPr>
      <w:r>
        <w:t xml:space="preserve">Инспекције су најажурније у објављивању својих надлежности и структуре, </w:t>
      </w:r>
      <w:proofErr w:type="spellStart"/>
      <w:r>
        <w:t>тј</w:t>
      </w:r>
      <w:proofErr w:type="spellEnd"/>
      <w:r>
        <w:t xml:space="preserve"> информација о себи самима. Ово је добра пракса, иако је ЗИН не предвиђа.</w:t>
      </w:r>
    </w:p>
    <w:p w14:paraId="7A954CB1" w14:textId="77777777" w:rsidR="000F17C6" w:rsidRDefault="000F17C6" w:rsidP="000F17C6">
      <w:pPr>
        <w:pStyle w:val="Tekst"/>
      </w:pPr>
    </w:p>
    <w:p w14:paraId="4CAC1637" w14:textId="77777777" w:rsidR="000F17C6" w:rsidRDefault="000F17C6" w:rsidP="000F17C6">
      <w:pPr>
        <w:pStyle w:val="Tekst"/>
      </w:pPr>
    </w:p>
    <w:p w14:paraId="00DD15D3" w14:textId="77777777" w:rsidR="000F17C6" w:rsidRDefault="000F17C6" w:rsidP="000F17C6">
      <w:pPr>
        <w:pStyle w:val="Tekst"/>
      </w:pPr>
    </w:p>
    <w:p w14:paraId="206800A1" w14:textId="624B3B2E" w:rsidR="00BE34AA" w:rsidRDefault="00BE34AA" w:rsidP="00BA63E5">
      <w:pPr>
        <w:pStyle w:val="Tekst"/>
      </w:pPr>
    </w:p>
    <w:p w14:paraId="4D133C91" w14:textId="44C40BE5" w:rsidR="00CC6A63" w:rsidRDefault="00E90122" w:rsidP="00BA63E5">
      <w:pPr>
        <w:pStyle w:val="Heading1"/>
      </w:pPr>
      <w:bookmarkStart w:id="58" w:name="_Toc468269559"/>
      <w:bookmarkStart w:id="59" w:name="_Toc468553640"/>
      <w:r w:rsidRPr="00BB7217">
        <w:lastRenderedPageBreak/>
        <w:t>Закључак</w:t>
      </w:r>
      <w:bookmarkEnd w:id="58"/>
      <w:bookmarkEnd w:id="59"/>
    </w:p>
    <w:p w14:paraId="5F18961D" w14:textId="760760BD" w:rsidR="00F62999" w:rsidRDefault="00F62999" w:rsidP="00CC6A63">
      <w:pPr>
        <w:pStyle w:val="Heading2"/>
      </w:pPr>
      <w:bookmarkStart w:id="60" w:name="_Toc468553641"/>
      <w:r>
        <w:t>Предлог заједничке платформе за објављивање информација</w:t>
      </w:r>
      <w:bookmarkEnd w:id="60"/>
    </w:p>
    <w:p w14:paraId="2A4C4A15" w14:textId="77777777" w:rsidR="00F62999" w:rsidRDefault="00F62999" w:rsidP="00F62999">
      <w:pPr>
        <w:pStyle w:val="Tekst"/>
      </w:pPr>
      <w:r>
        <w:t xml:space="preserve">На основу анализе законске регулативе и датог модела за објављивање података може се закључити да се обавезе  о објављивању садржаја на интернет презентацији не разликују по инспекцијским службама. Са друге стране, инспекцијске службе немају технички капацитет да креирају и </w:t>
      </w:r>
      <w:proofErr w:type="spellStart"/>
      <w:r>
        <w:t>хостују</w:t>
      </w:r>
      <w:proofErr w:type="spellEnd"/>
      <w:r>
        <w:t xml:space="preserve"> своје интернет презентације. </w:t>
      </w:r>
    </w:p>
    <w:p w14:paraId="4BC2E451" w14:textId="77777777" w:rsidR="00F62999" w:rsidRDefault="00F62999" w:rsidP="00F62999">
      <w:pPr>
        <w:pStyle w:val="Tekst"/>
      </w:pPr>
      <w:r>
        <w:t>Крајње нерационално са финансијског аспекта би било препоручити инспекцијским службама да спроведу, свака појединачно, јавну набавку за креирање платформе за објављивање документације. Поред финансијског момента неминовно би дошло да креирања различитих решења која нису међусобно идентична, што би отежавало сналажење на интернет презентацијама. Поред тога ниво информација не би био равномеран а одржавање и освежавање садржаја за различите платформе и решења је посебно проблематично.</w:t>
      </w:r>
    </w:p>
    <w:p w14:paraId="54D70A44" w14:textId="0F487FBA" w:rsidR="00F62999" w:rsidRDefault="00F62999" w:rsidP="00F62999">
      <w:pPr>
        <w:pStyle w:val="Tekst"/>
      </w:pPr>
      <w:r>
        <w:t xml:space="preserve">Дата ситуација се може решити креирањем заједничке платформе за објављивање информација која би садржала све потребне елементе предвиђене датим моделом. Свака инспекцијска служба треба да има свој део за презентацију са свим елементима као и друге инспекцијске службе, јасно одвојен на поддомен презентације. Инспекцијска служба приступа и уређује садржај који се односи на њен рад и одговорна је за његову ажурност и постављање. Сличан концепт је успешно примењен на националном порталу </w:t>
      </w:r>
      <w:proofErr w:type="spellStart"/>
      <w:r>
        <w:t>еУправа</w:t>
      </w:r>
      <w:proofErr w:type="spellEnd"/>
      <w:r>
        <w:t xml:space="preserve"> који је значајно подигао ниво услуга електронске управе у Србији.</w:t>
      </w:r>
      <w:r>
        <w:rPr>
          <w:rStyle w:val="FootnoteReference"/>
        </w:rPr>
        <w:footnoteReference w:id="21"/>
      </w:r>
    </w:p>
    <w:p w14:paraId="2628C471" w14:textId="29D234C5" w:rsidR="00F62999" w:rsidRDefault="00F62999" w:rsidP="00F62999">
      <w:pPr>
        <w:pStyle w:val="Tekst"/>
      </w:pPr>
      <w:r>
        <w:t xml:space="preserve">Како поред статичних информација на порталу треба обезбедити актуелне информације о планираним надзорима, списак и степену усклађености надзираних субјеката као и извештаје, неопходно је повезати платформу за објављивање информација са информационим системима инспекција. </w:t>
      </w:r>
      <w:r w:rsidR="0064570E">
        <w:t>Ово је могуће урадити јер је ј</w:t>
      </w:r>
      <w:r>
        <w:t xml:space="preserve">авна набавка за увођење </w:t>
      </w:r>
      <w:r w:rsidR="0064570E">
        <w:t xml:space="preserve">интегрисаног </w:t>
      </w:r>
      <w:r>
        <w:t xml:space="preserve">система за електронске инспекције </w:t>
      </w:r>
      <w:r w:rsidR="0064570E">
        <w:t>(е-Инспектор) у току и спроводи је Дирекција за е-управу. Поред опције повезивања, будући систем може да буде место на коме ће се имплементирати заједничка платформа као један од модула односно функционалности.</w:t>
      </w:r>
    </w:p>
    <w:p w14:paraId="623B0BDE" w14:textId="0E49AA62" w:rsidR="00556636" w:rsidRPr="00BB7217" w:rsidRDefault="00556636" w:rsidP="00DF7C33">
      <w:pPr>
        <w:pStyle w:val="Heading1"/>
      </w:pPr>
      <w:bookmarkStart w:id="61" w:name="_Toc468269560"/>
      <w:bookmarkStart w:id="62" w:name="_Toc468553642"/>
      <w:r w:rsidRPr="00BB7217">
        <w:lastRenderedPageBreak/>
        <w:t>Референце</w:t>
      </w:r>
      <w:bookmarkEnd w:id="61"/>
      <w:bookmarkEnd w:id="62"/>
    </w:p>
    <w:p w14:paraId="6483C31A" w14:textId="77777777" w:rsidR="00C66018" w:rsidRPr="00C66018" w:rsidRDefault="00556636" w:rsidP="00C66018">
      <w:pPr>
        <w:pStyle w:val="Bibliography"/>
      </w:pPr>
      <w:r w:rsidRPr="00BB7217">
        <w:fldChar w:fldCharType="begin"/>
      </w:r>
      <w:r w:rsidR="00F62999">
        <w:instrText xml:space="preserve"> ADDIN ZOTERO_BIBL {"custom":[]} CSL_BIBLIOGRAPHY </w:instrText>
      </w:r>
      <w:r w:rsidRPr="00BB7217">
        <w:fldChar w:fldCharType="separate"/>
      </w:r>
      <w:r w:rsidR="00C66018" w:rsidRPr="00C66018">
        <w:rPr>
          <w:i/>
          <w:iCs/>
        </w:rPr>
        <w:t>Акциони план за спровођење иницијативе Партнерство за отворену управу у Републици Србији за 2016. и 2017.</w:t>
      </w:r>
      <w:r w:rsidR="00C66018" w:rsidRPr="00C66018">
        <w:t>, без датума. http://www.mduls.gov.rs/doc/AP%20OGP%20Srbija%202016-17%20ser.doc.</w:t>
      </w:r>
    </w:p>
    <w:p w14:paraId="2DE096A9" w14:textId="77777777" w:rsidR="00C66018" w:rsidRPr="00C66018" w:rsidRDefault="00C66018" w:rsidP="00C66018">
      <w:pPr>
        <w:pStyle w:val="Bibliography"/>
      </w:pPr>
      <w:r w:rsidRPr="00C66018">
        <w:t>Дирекција за електронску управу. „Смернице за израду веб презентација органа државне управе в5.0“. Приступљено 03. Децембар 2016. http://www.deu.gov.rs/doc/Smernice_5_0.pdf.</w:t>
      </w:r>
    </w:p>
    <w:p w14:paraId="1C009F8C" w14:textId="77777777" w:rsidR="00C66018" w:rsidRPr="00C66018" w:rsidRDefault="00C66018" w:rsidP="00C66018">
      <w:pPr>
        <w:pStyle w:val="Bibliography"/>
      </w:pPr>
      <w:r w:rsidRPr="00C66018">
        <w:rPr>
          <w:i/>
          <w:iCs/>
        </w:rPr>
        <w:t>Закон о општем управном поступку</w:t>
      </w:r>
      <w:r w:rsidRPr="00C66018">
        <w:t xml:space="preserve">. </w:t>
      </w:r>
      <w:r w:rsidRPr="00C66018">
        <w:rPr>
          <w:i/>
          <w:iCs/>
        </w:rPr>
        <w:t>Службени гласник РС, 18/16</w:t>
      </w:r>
      <w:r w:rsidRPr="00C66018">
        <w:t>, 2016. http://www.parlament.gov.rs/upload/archive/files/cir/pdf/zakoni/2016/266-16.pdf.</w:t>
      </w:r>
    </w:p>
    <w:p w14:paraId="5EF582A4" w14:textId="77777777" w:rsidR="00C66018" w:rsidRPr="00C66018" w:rsidRDefault="00C66018" w:rsidP="00C66018">
      <w:pPr>
        <w:pStyle w:val="Bibliography"/>
      </w:pPr>
      <w:r w:rsidRPr="00C66018">
        <w:t>„Интернет домени“. Приступљено 07. Новембар 2016. http://www.uzzpro.gov.rs/internet-domeni.html.</w:t>
      </w:r>
    </w:p>
    <w:p w14:paraId="0BA1C40B" w14:textId="77777777" w:rsidR="00C66018" w:rsidRPr="00C66018" w:rsidRDefault="00C66018" w:rsidP="00C66018">
      <w:pPr>
        <w:pStyle w:val="Bibliography"/>
      </w:pPr>
      <w:r w:rsidRPr="00C66018">
        <w:t>„Координациона комисија за инспекцијски надзор“. Приступљено 07. Новембар 2016. http://inspektor.gov.rs/#/item/1/O%20nama.</w:t>
      </w:r>
    </w:p>
    <w:p w14:paraId="57EA9424" w14:textId="77777777" w:rsidR="00C66018" w:rsidRPr="00C66018" w:rsidRDefault="00C66018" w:rsidP="00C66018">
      <w:pPr>
        <w:pStyle w:val="Bibliography"/>
      </w:pPr>
      <w:r w:rsidRPr="00C66018">
        <w:t>„Листа стандарда интероперабилности“. Дирекција за електронску управу, Јуни 2014. http://deu.gov.rs/doc/LISTA_%20STANDARDA_Interoperabilnosti_v_1._azurirano_%2017112014.docx.</w:t>
      </w:r>
    </w:p>
    <w:p w14:paraId="5D42011E" w14:textId="77777777" w:rsidR="00C66018" w:rsidRPr="00C66018" w:rsidRDefault="00C66018" w:rsidP="00C66018">
      <w:pPr>
        <w:pStyle w:val="Bibliography"/>
      </w:pPr>
      <w:r w:rsidRPr="00C66018">
        <w:t>Стефановић, Милан, Добросав Миловановић, Јована Стефановић, и Иван Драгошан. „ВОДИЧ за примену Законa о инспекцијском надзору“. Инспекцијски надзор - Србија - Законски прописи, Новембар 2015. http://www.mduls.gov.rs/doc/dokumenta/inspekcijski-nadzor/Vodic%20za%20primenu_ZoIN_9%20novembar%202015.pdf.</w:t>
      </w:r>
    </w:p>
    <w:p w14:paraId="4831C626" w14:textId="77777777" w:rsidR="00C66018" w:rsidRPr="00C66018" w:rsidRDefault="00C66018" w:rsidP="00C66018">
      <w:pPr>
        <w:pStyle w:val="Bibliography"/>
      </w:pPr>
      <w:r w:rsidRPr="00C66018">
        <w:t>„Anketa 1000 preduzeca 2016 - rezime.pdf“. Приступљено 03. Децембар 2016. http://bep.rs/images/gallery/2016_11_17/Anketa%201000%20preduzeca%20-%20rezime.pdf.</w:t>
      </w:r>
    </w:p>
    <w:p w14:paraId="388B6903" w14:textId="77777777" w:rsidR="00C66018" w:rsidRPr="00C66018" w:rsidRDefault="00C66018" w:rsidP="00C66018">
      <w:pPr>
        <w:pStyle w:val="Bibliography"/>
      </w:pPr>
      <w:r w:rsidRPr="00C66018">
        <w:t>„Inspekcije i privreda - koordinacijom svi dobijaju“. Приступљено 21. Новембар 2016. http://www.policycafe.rs/documents/briefers/c1/Inspekcije%20i%20privreda%20-%20%20koordinacijom%20svi%20dobijaju.pdf.</w:t>
      </w:r>
    </w:p>
    <w:p w14:paraId="57485D53" w14:textId="77777777" w:rsidR="00C66018" w:rsidRPr="00C66018" w:rsidRDefault="00C66018" w:rsidP="00C66018">
      <w:pPr>
        <w:pStyle w:val="Bibliography"/>
      </w:pPr>
      <w:r w:rsidRPr="00C66018">
        <w:t>NALED. „Анализа инспекција у Републици Србији“, Септембар 2014. http://www.naled-serbia.org/upload/Document/File/2015_01/Analiza_inspekcija_u_Republici_Srbiji.pdf.</w:t>
      </w:r>
    </w:p>
    <w:p w14:paraId="0E310CB3" w14:textId="77777777" w:rsidR="00C66018" w:rsidRPr="00C66018" w:rsidRDefault="00C66018" w:rsidP="00C66018">
      <w:pPr>
        <w:pStyle w:val="Bibliography"/>
      </w:pPr>
      <w:r w:rsidRPr="00C66018">
        <w:t>„Sanitarna inspekcija APV“. Приступљено 03. Децембар 2016. http://185.166.125.151/~sanitarci/.</w:t>
      </w:r>
    </w:p>
    <w:p w14:paraId="0AC0F6D0" w14:textId="77777777" w:rsidR="00C66018" w:rsidRPr="00C66018" w:rsidRDefault="00C66018" w:rsidP="00C66018">
      <w:pPr>
        <w:pStyle w:val="Bibliography"/>
      </w:pPr>
      <w:r w:rsidRPr="00C66018">
        <w:t>Stefanović-Petani, Jovana, Duška Medić, и Milan Stefanović. „Metodologija za pripremu ankete za evaluaciju inspekcijskog nadzora i postupanja inspektora“. USAID Projekat za bolje uslove poslovanja, без датума.</w:t>
      </w:r>
    </w:p>
    <w:p w14:paraId="27C93D7D" w14:textId="77777777" w:rsidR="00C66018" w:rsidRPr="00C66018" w:rsidRDefault="00C66018" w:rsidP="00C66018">
      <w:pPr>
        <w:pStyle w:val="Bibliography"/>
      </w:pPr>
      <w:r w:rsidRPr="00C66018">
        <w:t>„The W3C CSS Validation Service“. Приступљено 04. Новембар 2016. https://jigsaw.w3.org/css-validator/.</w:t>
      </w:r>
    </w:p>
    <w:p w14:paraId="6E48B987" w14:textId="77777777" w:rsidR="00C66018" w:rsidRPr="00C66018" w:rsidRDefault="00C66018" w:rsidP="00C66018">
      <w:pPr>
        <w:pStyle w:val="Bibliography"/>
      </w:pPr>
      <w:r w:rsidRPr="00C66018">
        <w:t>„The W3C Markup Validation Service“. Приступљено 04. Новембар 2016. https://validator.w3.org/.</w:t>
      </w:r>
    </w:p>
    <w:p w14:paraId="77025711" w14:textId="77777777" w:rsidR="00C66018" w:rsidRPr="00C66018" w:rsidRDefault="00C66018" w:rsidP="00C66018">
      <w:pPr>
        <w:pStyle w:val="Bibliography"/>
      </w:pPr>
      <w:r w:rsidRPr="00C66018">
        <w:t>„United Nations E-Government Survey 2012: E-Government for the People“. U.N. Publications. New York, 2012.</w:t>
      </w:r>
    </w:p>
    <w:p w14:paraId="2FD31E17" w14:textId="77777777" w:rsidR="00C66018" w:rsidRPr="00C66018" w:rsidRDefault="00C66018" w:rsidP="00C66018">
      <w:pPr>
        <w:pStyle w:val="Bibliography"/>
      </w:pPr>
      <w:r w:rsidRPr="00C66018">
        <w:t>USAID Serbia. „Business Survay Serbia 2011“. Приступљено 21. Новембар 2016. http://policycafe.rs/documents/business/survey/BEP%202011%20Survey%20Report.pdf.</w:t>
      </w:r>
    </w:p>
    <w:p w14:paraId="51361605" w14:textId="77777777" w:rsidR="00C66018" w:rsidRPr="00C66018" w:rsidRDefault="00C66018" w:rsidP="00C66018">
      <w:pPr>
        <w:pStyle w:val="Bibliography"/>
      </w:pPr>
      <w:r w:rsidRPr="00C66018">
        <w:rPr>
          <w:i/>
          <w:iCs/>
        </w:rPr>
        <w:t>Zakon o inspekcijskom nadzoru</w:t>
      </w:r>
      <w:r w:rsidRPr="00C66018">
        <w:t xml:space="preserve">. </w:t>
      </w:r>
      <w:r w:rsidRPr="00C66018">
        <w:rPr>
          <w:i/>
          <w:iCs/>
        </w:rPr>
        <w:t>Сл. гласник РС, бр. 36/2015</w:t>
      </w:r>
      <w:r w:rsidRPr="00C66018">
        <w:t>. Приступљено 03. Новембар 2016. http://www.mduls.gov.rs/doc/ZoIN%20-%202015.pdf.</w:t>
      </w:r>
    </w:p>
    <w:p w14:paraId="22C0F5B8" w14:textId="22F7AA77" w:rsidR="004B78F3" w:rsidRDefault="00556636" w:rsidP="00DF7C33">
      <w:r w:rsidRPr="00BB7217">
        <w:fldChar w:fldCharType="end"/>
      </w:r>
    </w:p>
    <w:p w14:paraId="49E0DFE7" w14:textId="69ECF6F8" w:rsidR="00260BA2" w:rsidRDefault="00260BA2">
      <w:pPr>
        <w:spacing w:after="160" w:line="259" w:lineRule="auto"/>
      </w:pPr>
    </w:p>
    <w:p w14:paraId="1247BB3D" w14:textId="36CF9536" w:rsidR="00260BA2" w:rsidRDefault="00260BA2" w:rsidP="00260BA2">
      <w:pPr>
        <w:pStyle w:val="Heading1"/>
      </w:pPr>
      <w:bookmarkStart w:id="63" w:name="_Toc468553643"/>
      <w:r>
        <w:lastRenderedPageBreak/>
        <w:t>Анекси</w:t>
      </w:r>
      <w:bookmarkEnd w:id="63"/>
    </w:p>
    <w:p w14:paraId="4C422309" w14:textId="7BAA5614" w:rsidR="007030F4" w:rsidRPr="007030F4" w:rsidRDefault="007030F4" w:rsidP="007030F4">
      <w:r>
        <w:t xml:space="preserve">Табеле са оценама </w:t>
      </w:r>
      <w:r w:rsidR="00A7539E">
        <w:t xml:space="preserve">постојећих </w:t>
      </w:r>
      <w:r>
        <w:t>сајтова и образац за оцењивање.</w:t>
      </w:r>
    </w:p>
    <w:sectPr w:rsidR="007030F4" w:rsidRPr="007030F4" w:rsidSect="00430CE1">
      <w:footerReference w:type="default" r:id="rId18"/>
      <w:footerReference w:type="first" r:id="rId19"/>
      <w:pgSz w:w="11907" w:h="16839" w:code="9"/>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5A850" w14:textId="77777777" w:rsidR="000F4B5C" w:rsidRDefault="000F4B5C" w:rsidP="00DF7C33">
      <w:r>
        <w:separator/>
      </w:r>
    </w:p>
  </w:endnote>
  <w:endnote w:type="continuationSeparator" w:id="0">
    <w:p w14:paraId="2F772D72" w14:textId="77777777" w:rsidR="000F4B5C" w:rsidRDefault="000F4B5C" w:rsidP="00DF7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569193"/>
      <w:docPartObj>
        <w:docPartGallery w:val="Page Numbers (Bottom of Page)"/>
        <w:docPartUnique/>
      </w:docPartObj>
    </w:sdtPr>
    <w:sdtEndPr>
      <w:rPr>
        <w:noProof/>
      </w:rPr>
    </w:sdtEndPr>
    <w:sdtContent>
      <w:p w14:paraId="28AD3960" w14:textId="580BF6A9" w:rsidR="00430CE1" w:rsidRDefault="00430CE1">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558CE99B" w14:textId="77777777" w:rsidR="004C100B" w:rsidRDefault="004C100B" w:rsidP="00DF7C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888375"/>
      <w:docPartObj>
        <w:docPartGallery w:val="Page Numbers (Bottom of Page)"/>
        <w:docPartUnique/>
      </w:docPartObj>
    </w:sdtPr>
    <w:sdtEndPr>
      <w:rPr>
        <w:noProof/>
      </w:rPr>
    </w:sdtEndPr>
    <w:sdtContent>
      <w:p w14:paraId="21FF7EAE" w14:textId="7F035266" w:rsidR="004C100B" w:rsidRDefault="000F4B5C" w:rsidP="00DF7C33">
        <w:pPr>
          <w:pStyle w:val="Footer"/>
        </w:pPr>
      </w:p>
    </w:sdtContent>
  </w:sdt>
  <w:p w14:paraId="019E72EE" w14:textId="77777777" w:rsidR="004C100B" w:rsidRDefault="004C100B" w:rsidP="00DF7C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16F60" w14:textId="77777777" w:rsidR="000F4B5C" w:rsidRDefault="000F4B5C" w:rsidP="00DF7C33">
      <w:r>
        <w:separator/>
      </w:r>
    </w:p>
  </w:footnote>
  <w:footnote w:type="continuationSeparator" w:id="0">
    <w:p w14:paraId="15F7AEA0" w14:textId="77777777" w:rsidR="000F4B5C" w:rsidRDefault="000F4B5C" w:rsidP="00DF7C33">
      <w:r>
        <w:continuationSeparator/>
      </w:r>
    </w:p>
  </w:footnote>
  <w:footnote w:id="1">
    <w:p w14:paraId="40933617" w14:textId="2E25573D" w:rsidR="004C100B" w:rsidRPr="00F24481" w:rsidRDefault="004C100B" w:rsidP="00DF7C33">
      <w:pPr>
        <w:pStyle w:val="FootnoteText"/>
      </w:pPr>
      <w:r>
        <w:rPr>
          <w:rStyle w:val="FootnoteReference"/>
        </w:rPr>
        <w:footnoteRef/>
      </w:r>
      <w:r>
        <w:t xml:space="preserve"> </w:t>
      </w:r>
      <w:r>
        <w:fldChar w:fldCharType="begin"/>
      </w:r>
      <w:r>
        <w:instrText xml:space="preserve"> ADDIN ZOTERO_ITEM CSL_CITATION {"citationID":"65U2riSI","properties":{"formattedCitation":"{\\rtf \\uc0\\u1057{}\\uc0\\u1090{}\\uc0\\u1077{}\\uc0\\u1092{}\\uc0\\u1072{}\\uc0\\u1085{}\\uc0\\u1086{}\\uc0\\u1074{}\\uc0\\u1080{}\\uc0\\u1115{} \\uc0\\u1080{} \\uc0\\u1086{}\\uc0\\u1089{}\\uc0\\u1090{}\\uc0\\u1072{}\\uc0\\u1083{}\\uc0\\u1080{}, \\uc0\\u8222{}\\uc0\\u1042{}\\uc0\\u1054{}\\uc0\\u1044{}\\uc0\\u1048{}\\uc0\\u1063{} \\uc0\\u1079{}\\uc0\\u1072{} \\uc0\\u1087{}\\uc0\\u1088{}\\uc0\\u1080{}\\uc0\\u1084{}\\uc0\\u1077{}\\uc0\\u1085{}\\uc0\\u1091{} \\uc0\\u1047{}\\uc0\\u1072{}\\uc0\\u1082{}\\uc0\\u1086{}\\uc0\\u1085{}a \\uc0\\u1086{} \\uc0\\u1080{}\\uc0\\u1085{}\\uc0\\u1089{}\\uc0\\u1087{}\\uc0\\u1077{}\\uc0\\u1082{}\\uc0\\u1094{}\\uc0\\u1080{}\\uc0\\u1112{}\\uc0\\u1089{}\\uc0\\u1082{}\\uc0\\u1086{}\\uc0\\u1084{} \\uc0\\u1085{}\\uc0\\u1072{}\\uc0\\u1076{}\\uc0\\u1079{}\\uc0\\u1086{}\\uc0\\u1088{}\\uc0\\u1091{}\\uc0\\u8220{}.}","plainCitation":"Стефановић и остали, „ВОДИЧ за примену Законa о инспекцијском надзору“."},"citationItems":[{"id":366,"uris":["http://zotero.org/users/1146463/items/PJAXPVC5"],"uri":["http://zotero.org/users/1146463/items/PJAXPVC5"],"itemData":{"id":366,"type":"report","title":"ВОДИЧ за примену Законa о инспекцијском надзору","genre":"Инспекцијски надзор - Србија - Законски прописи","URL":"http://www.mduls.gov.rs/doc/dokumenta/inspekcijski-nadzor/Vodic%20za%20primenu_ZoIN_9%20novembar%202015.pdf","number":"ISBN 978-86-919327-0-1","author":[{"family":"Стефановић","given":"Милан"},{"family":"Миловановић","given":"Добросав"},{"family":"Стефановић","given":"Јована"},{"family":"Драгошан","given":"Иван"}],"issued":{"date-parts":[["2015",11]]}}}],"schema":"https://github.com/citation-style-language/schema/raw/master/csl-citation.json"} </w:instrText>
      </w:r>
      <w:r>
        <w:fldChar w:fldCharType="separate"/>
      </w:r>
      <w:r w:rsidRPr="00D17F66">
        <w:rPr>
          <w:szCs w:val="24"/>
        </w:rPr>
        <w:t>Стефановић и остали, „ВОДИЧ за примену Законa о инспекцијском надзору“.</w:t>
      </w:r>
      <w:r>
        <w:fldChar w:fldCharType="end"/>
      </w:r>
    </w:p>
  </w:footnote>
  <w:footnote w:id="2">
    <w:p w14:paraId="5985DDA0" w14:textId="452EDDD6" w:rsidR="004C100B" w:rsidRDefault="004C100B">
      <w:pPr>
        <w:pStyle w:val="FootnoteText"/>
      </w:pPr>
      <w:r>
        <w:rPr>
          <w:rStyle w:val="FootnoteReference"/>
        </w:rPr>
        <w:footnoteRef/>
      </w:r>
      <w:r>
        <w:t xml:space="preserve"> </w:t>
      </w:r>
      <w:r>
        <w:fldChar w:fldCharType="begin"/>
      </w:r>
      <w:r>
        <w:instrText xml:space="preserve"> ADDIN ZOTERO_ITEM CSL_CITATION {"citationID":"zhJbdQdJ","properties":{"formattedCitation":"{\\rtf \\uc0\\u8222{}Inspekcije i privreda - koordinacijom svi dobijaju\\uc0\\u8220{}.}","plainCitation":"„Inspekcije i privreda - koordinacijom svi dobijaju“."},"citationItems":[{"id":350,"uris":["http://zotero.org/users/1146463/items/2RKHQ6BZ"],"uri":["http://zotero.org/users/1146463/items/2RKHQ6BZ"],"itemData":{"id":350,"type":"webpage","title":"Inspekcije i privreda - koordinacijom svi dobijaju","URL":"http://www.policycafe.rs/documents/briefers/c1/Inspekcije%20i%20privreda%20-%20%20koordinacijom%20svi%20dobijaju.pdf","accessed":{"date-parts":[["2016",11,21]]}}}],"schema":"https://github.com/citation-style-language/schema/raw/master/csl-citation.json"} </w:instrText>
      </w:r>
      <w:r>
        <w:fldChar w:fldCharType="separate"/>
      </w:r>
      <w:r w:rsidRPr="00B41B2C">
        <w:rPr>
          <w:szCs w:val="24"/>
        </w:rPr>
        <w:t>„Inspekcije i privreda - koordinacijom svi dobijaju“.</w:t>
      </w:r>
      <w:r>
        <w:fldChar w:fldCharType="end"/>
      </w:r>
    </w:p>
  </w:footnote>
  <w:footnote w:id="3">
    <w:p w14:paraId="09BDE648" w14:textId="6DEE90A1" w:rsidR="004C100B" w:rsidRPr="00556636" w:rsidRDefault="004C100B" w:rsidP="00DF7C33">
      <w:pPr>
        <w:pStyle w:val="FootnoteText"/>
      </w:pPr>
      <w:r>
        <w:rPr>
          <w:rStyle w:val="FootnoteReference"/>
        </w:rPr>
        <w:footnoteRef/>
      </w:r>
      <w:r>
        <w:t xml:space="preserve"> </w:t>
      </w:r>
      <w:r>
        <w:fldChar w:fldCharType="begin"/>
      </w:r>
      <w:r>
        <w:instrText xml:space="preserve"> ADDIN ZOTERO_ITEM CSL_CITATION {"citationID":"JUwKX6Pi","properties":{"formattedCitation":"{\\rtf {\\i{}Zakon o inspekcijskom nadzoru}.}","plainCitation":"Zakon o inspekcijskom nadzoru."},"citationItems":[{"id":355,"uris":["http://zotero.org/users/1146463/items/933RVEZM"],"uri":["http://zotero.org/users/1146463/items/933RVEZM"],"itemData":{"id":355,"type":"legislation","title":"Zakon o inspekcijskom nadzoru","container-title":"Сл. гласник РС, бр. 36/2015","URL":"http://www.mduls.gov.rs/doc/ZoIN%20-%202015.pdf","accessed":{"date-parts":[["2016",11,3]]}}}],"schema":"https://github.com/citation-style-language/schema/raw/master/csl-citation.json"} </w:instrText>
      </w:r>
      <w:r>
        <w:fldChar w:fldCharType="separate"/>
      </w:r>
      <w:r w:rsidRPr="00D17F66">
        <w:rPr>
          <w:i/>
          <w:iCs/>
          <w:szCs w:val="24"/>
        </w:rPr>
        <w:t>Zakon o inspekcijskom nadzoru</w:t>
      </w:r>
      <w:r w:rsidRPr="00D17F66">
        <w:rPr>
          <w:szCs w:val="24"/>
        </w:rPr>
        <w:t>.</w:t>
      </w:r>
      <w:r>
        <w:fldChar w:fldCharType="end"/>
      </w:r>
    </w:p>
  </w:footnote>
  <w:footnote w:id="4">
    <w:p w14:paraId="0B7E3F50" w14:textId="3830360C" w:rsidR="004C100B" w:rsidRDefault="004C100B">
      <w:pPr>
        <w:pStyle w:val="FootnoteText"/>
      </w:pPr>
      <w:r>
        <w:rPr>
          <w:rStyle w:val="FootnoteReference"/>
        </w:rPr>
        <w:footnoteRef/>
      </w:r>
      <w:r>
        <w:t xml:space="preserve"> </w:t>
      </w:r>
      <w:r>
        <w:fldChar w:fldCharType="begin"/>
      </w:r>
      <w:r>
        <w:instrText xml:space="preserve"> ADDIN ZOTERO_ITEM CSL_CITATION {"citationID":"y7SbJPq5","properties":{"formattedCitation":"{\\rtf \\uc0\\u8222{}Anketa 1000 preduzeca 2016 - rezime.pdf\\uc0\\u8220{}.}","plainCitation":"„Anketa 1000 preduzeca 2016 - rezime.pdf“."},"citationItems":[{"id":381,"uris":["http://zotero.org/users/1146463/items/HEIW23B4"],"uri":["http://zotero.org/users/1146463/items/HEIW23B4"],"itemData":{"id":381,"type":"webpage","title":"Anketa 1000 preduzeca 2016 - rezime.pdf","URL":"http://bep.rs/images/gallery/2016_11_17/Anketa%201000%20preduzeca%20-%20rezime.pdf","accessed":{"date-parts":[["2016",12,3]]}}}],"schema":"https://github.com/citation-style-language/schema/raw/master/csl-citation.json"} </w:instrText>
      </w:r>
      <w:r>
        <w:fldChar w:fldCharType="separate"/>
      </w:r>
      <w:r w:rsidRPr="003E400E">
        <w:rPr>
          <w:szCs w:val="24"/>
        </w:rPr>
        <w:t>„Anketa 1000 preduzeca 2016 - rezime.pdf“.</w:t>
      </w:r>
      <w:r>
        <w:fldChar w:fldCharType="end"/>
      </w:r>
    </w:p>
  </w:footnote>
  <w:footnote w:id="5">
    <w:p w14:paraId="3490329C" w14:textId="41145253" w:rsidR="004C100B" w:rsidRDefault="004C100B" w:rsidP="00740237">
      <w:pPr>
        <w:pStyle w:val="FootnoteText"/>
      </w:pPr>
      <w:r>
        <w:rPr>
          <w:rStyle w:val="FootnoteReference"/>
        </w:rPr>
        <w:footnoteRef/>
      </w:r>
      <w:r>
        <w:t xml:space="preserve"> </w:t>
      </w:r>
      <w:r>
        <w:fldChar w:fldCharType="begin"/>
      </w:r>
      <w:r>
        <w:instrText xml:space="preserve"> ADDIN ZOTERO_ITEM CSL_CITATION {"citationID":"OnFkAhHy","properties":{"formattedCitation":"{\\rtf {\\i{}\\uc0\\u1047{}\\uc0\\u1072{}\\uc0\\u1082{}\\uc0\\u1086{}\\uc0\\u1085{} \\uc0\\u1086{} \\uc0\\u1086{}\\uc0\\u1087{}\\uc0\\u1096{}\\uc0\\u1090{}\\uc0\\u1077{}\\uc0\\u1084{} \\uc0\\u1091{}\\uc0\\u1087{}\\uc0\\u1088{}\\uc0\\u1072{}\\uc0\\u1074{}\\uc0\\u1085{}\\uc0\\u1086{}\\uc0\\u1084{} \\uc0\\u1087{}\\uc0\\u1086{}\\uc0\\u1089{}\\uc0\\u1090{}\\uc0\\u1091{}\\uc0\\u1087{}\\uc0\\u1082{}\\uc0\\u1091{}}.}","plainCitation":"Закон о општем управном поступку."},"citationItems":[{"id":359,"uris":["http://zotero.org/users/1146463/items/BABPUPA8"],"uri":["http://zotero.org/users/1146463/items/BABPUPA8"],"itemData":{"id":359,"type":"legislation","title":"Закон о општем управном поступку","container-title":"Службени гласник РС, 18/16","URL":"http://www.parlament.gov.rs/upload/archive/files/cir/pdf/zakoni/2016/266-16.pdf","issued":{"date-parts":[["2016",3]]},"accessed":{"date-parts":[["2016",11,24]]}}}],"schema":"https://github.com/citation-style-language/schema/raw/master/csl-citation.json"} </w:instrText>
      </w:r>
      <w:r>
        <w:fldChar w:fldCharType="separate"/>
      </w:r>
      <w:r w:rsidRPr="00B41B2C">
        <w:rPr>
          <w:i/>
          <w:iCs/>
          <w:szCs w:val="24"/>
        </w:rPr>
        <w:t>Закон о општем управном поступку</w:t>
      </w:r>
      <w:r w:rsidRPr="00B41B2C">
        <w:rPr>
          <w:szCs w:val="24"/>
        </w:rPr>
        <w:t>.</w:t>
      </w:r>
      <w:r>
        <w:fldChar w:fldCharType="end"/>
      </w:r>
    </w:p>
  </w:footnote>
  <w:footnote w:id="6">
    <w:p w14:paraId="1088FEB3" w14:textId="16983FC8" w:rsidR="004C100B" w:rsidRDefault="004C100B">
      <w:pPr>
        <w:pStyle w:val="FootnoteText"/>
      </w:pPr>
      <w:r>
        <w:rPr>
          <w:rStyle w:val="FootnoteReference"/>
        </w:rPr>
        <w:footnoteRef/>
      </w:r>
      <w:r>
        <w:t xml:space="preserve"> </w:t>
      </w:r>
      <w:r>
        <w:fldChar w:fldCharType="begin"/>
      </w:r>
      <w:r>
        <w:instrText xml:space="preserve"> ADDIN ZOTERO_ITEM CSL_CITATION {"citationID":"znlYTFJG","properties":{"formattedCitation":"{\\rtf {\\i{}\\uc0\\u1040{}\\uc0\\u1082{}\\uc0\\u1094{}\\uc0\\u1080{}\\uc0\\u1086{}\\uc0\\u1085{}\\uc0\\u1080{} \\uc0\\u1087{}\\uc0\\u1083{}\\uc0\\u1072{}\\uc0\\u1085{} \\uc0\\u1079{}\\uc0\\u1072{} \\uc0\\u1089{}\\uc0\\u1087{}\\uc0\\u1088{}\\uc0\\u1086{}\\uc0\\u1074{}\\uc0\\u1086{}\\uc0\\u1106{}\\uc0\\u1077{}\\uc0\\u1114{}\\uc0\\u1077{} \\uc0\\u1080{}\\uc0\\u1085{}\\uc0\\u1080{}\\uc0\\u1094{}\\uc0\\u1080{}\\uc0\\u1112{}\\uc0\\u1072{}\\uc0\\u1090{}\\uc0\\u1080{}\\uc0\\u1074{}\\uc0\\u1077{} \\uc0\\u1055{}\\uc0\\u1072{}\\uc0\\u1088{}\\uc0\\u1090{}\\uc0\\u1085{}\\uc0\\u1077{}\\uc0\\u1088{}\\uc0\\u1089{}\\uc0\\u1090{}\\uc0\\u1074{}\\uc0\\u1086{} \\uc0\\u1079{}\\uc0\\u1072{} \\uc0\\u1086{}\\uc0\\u1090{}\\uc0\\u1074{}\\uc0\\u1086{}\\uc0\\u1088{}\\uc0\\u1077{}\\uc0\\u1085{}\\uc0\\u1091{} \\uc0\\u1091{}\\uc0\\u1087{}\\uc0\\u1088{}\\uc0\\u1072{}\\uc0\\u1074{}\\uc0\\u1091{} \\uc0\\u1091{} \\uc0\\u1056{}\\uc0\\u1077{}\\uc0\\u1087{}\\uc0\\u1091{}\\uc0\\u1073{}\\uc0\\u1083{}\\uc0\\u1080{}\\uc0\\u1094{}\\uc0\\u1080{} \\uc0\\u1057{}\\uc0\\u1088{}\\uc0\\u1073{}\\uc0\\u1080{}\\uc0\\u1112{}\\uc0\\u1080{} \\uc0\\u1079{}\\uc0\\u1072{} 2016. \\uc0\\u1080{} 2017.}}","plainCitation":"Акциони план за спровођење иницијативе Партнерство за отворену управу у Републици Србији за 2016. и 2017."},"citationItems":[{"id":368,"uris":["http://zotero.org/users/1146463/items/R9QR7AW6"],"uri":["http://zotero.org/users/1146463/items/R9QR7AW6"],"itemData":{"id":368,"type":"legislation","title":"Акциони план за спровођење иницијативе Партнерство за отворену управу у Републици Србији за 2016. и 2017.","URL":"http://www.mduls.gov.rs/doc/AP%20OGP%20Srbija%202016-17%20ser.doc"}}],"schema":"https://github.com/citation-style-language/schema/raw/master/csl-citation.json"} </w:instrText>
      </w:r>
      <w:r>
        <w:fldChar w:fldCharType="separate"/>
      </w:r>
      <w:r w:rsidRPr="004C6E4C">
        <w:rPr>
          <w:i/>
          <w:iCs/>
          <w:szCs w:val="24"/>
        </w:rPr>
        <w:t>Акциони план за спровођење иницијативе Партнерство за отворену управу у Републици Србији за 2016. и 2017.</w:t>
      </w:r>
      <w:r>
        <w:fldChar w:fldCharType="end"/>
      </w:r>
    </w:p>
  </w:footnote>
  <w:footnote w:id="7">
    <w:p w14:paraId="28F68220" w14:textId="664FB14B" w:rsidR="004C100B" w:rsidRPr="00CD3183" w:rsidRDefault="004C100B">
      <w:pPr>
        <w:pStyle w:val="FootnoteText"/>
        <w:rPr>
          <w:lang w:val="sr-Latn-RS"/>
        </w:rPr>
      </w:pPr>
      <w:r>
        <w:rPr>
          <w:rStyle w:val="FootnoteReference"/>
        </w:rPr>
        <w:footnoteRef/>
      </w:r>
      <w:r>
        <w:t xml:space="preserve"> </w:t>
      </w:r>
      <w:r>
        <w:fldChar w:fldCharType="begin"/>
      </w:r>
      <w:r>
        <w:instrText xml:space="preserve"> ADDIN ZOTERO_ITEM CSL_CITATION {"citationID":"CzRYS3H6","properties":{"formattedCitation":"{\\rtf USAID Serbia, \\uc0\\u8222{}Business Survay Serbia 2011\\uc0\\u8220{}.}","plainCitation":"USAID Serbia, „Business Survay Serbia 2011“."},"citationItems":[{"id":361,"uris":["http://zotero.org/users/1146463/items/E25952BZ"],"uri":["http://zotero.org/users/1146463/items/E25952BZ"],"itemData":{"id":361,"type":"webpage","title":"Business Survay Serbia 2011","URL":"http://policycafe.rs/documents/business/survey/BEP%202011%20Survey%20Report.pdf","author":[{"family":"USAID Serbia","given":""}],"accessed":{"date-parts":[["2016",11,21]]}}}],"schema":"https://github.com/citation-style-language/schema/raw/master/csl-citation.json"} </w:instrText>
      </w:r>
      <w:r>
        <w:fldChar w:fldCharType="separate"/>
      </w:r>
      <w:r w:rsidRPr="002C75EE">
        <w:rPr>
          <w:szCs w:val="24"/>
        </w:rPr>
        <w:t>USAID Serbia, „Business Survay Serbia 2011“.</w:t>
      </w:r>
      <w:r>
        <w:fldChar w:fldCharType="end"/>
      </w:r>
    </w:p>
  </w:footnote>
  <w:footnote w:id="8">
    <w:p w14:paraId="7547D87D" w14:textId="72586548" w:rsidR="004C100B" w:rsidRPr="00D25550" w:rsidRDefault="004C100B" w:rsidP="00DF7C33">
      <w:pPr>
        <w:pStyle w:val="FootnoteText"/>
      </w:pPr>
      <w:r>
        <w:rPr>
          <w:rStyle w:val="FootnoteReference"/>
        </w:rPr>
        <w:footnoteRef/>
      </w:r>
      <w:r>
        <w:t xml:space="preserve"> </w:t>
      </w:r>
      <w:r>
        <w:fldChar w:fldCharType="begin"/>
      </w:r>
      <w:r>
        <w:instrText xml:space="preserve"> ADDIN ZOTERO_ITEM CSL_CITATION {"citationID":"UfXXNY7h","properties":{"formattedCitation":"{\\rtf \\uc0\\u8222{}\\uc0\\u1050{}\\uc0\\u1086{}\\uc0\\u1086{}\\uc0\\u1088{}\\uc0\\u1076{}\\uc0\\u1080{}\\uc0\\u1085{}\\uc0\\u1072{}\\uc0\\u1094{}\\uc0\\u1080{}\\uc0\\u1086{}\\uc0\\u1085{}\\uc0\\u1072{} \\uc0\\u1082{}\\uc0\\u1086{}\\uc0\\u1084{}\\uc0\\u1080{}\\uc0\\u1089{}\\uc0\\u1080{}\\uc0\\u1112{}\\uc0\\u1072{} \\uc0\\u1079{}\\uc0\\u1072{} \\uc0\\u1080{}\\uc0\\u1085{}\\uc0\\u1089{}\\uc0\\u1087{}\\uc0\\u1077{}\\uc0\\u1082{}\\uc0\\u1094{}\\uc0\\u1080{}\\uc0\\u1112{}\\uc0\\u1089{}\\uc0\\u1082{}\\uc0\\u1080{} \\uc0\\u1085{}\\uc0\\u1072{}\\uc0\\u1076{}\\uc0\\u1079{}\\uc0\\u1086{}\\uc0\\u1088{}\\uc0\\u8220{}.}","plainCitation":"„Координациона комисија за инспекцијски надзор“."},"citationItems":[{"id":367,"uris":["http://zotero.org/users/1146463/items/PNNBBF67"],"uri":["http://zotero.org/users/1146463/items/PNNBBF67"],"itemData":{"id":367,"type":"webpage","title":"Координациона комисија за инспекцијски надзор","URL":"http://inspektor.gov.rs/#/item/1/O%20nama","accessed":{"date-parts":[["2016",11,7]]}}}],"schema":"https://github.com/citation-style-language/schema/raw/master/csl-citation.json"} </w:instrText>
      </w:r>
      <w:r>
        <w:fldChar w:fldCharType="separate"/>
      </w:r>
      <w:r w:rsidRPr="00D25550">
        <w:rPr>
          <w:szCs w:val="24"/>
        </w:rPr>
        <w:t>„Координациона комисија за инспекцијски надзор“.</w:t>
      </w:r>
      <w:r>
        <w:fldChar w:fldCharType="end"/>
      </w:r>
    </w:p>
  </w:footnote>
  <w:footnote w:id="9">
    <w:p w14:paraId="6FC990DC" w14:textId="2287F6BE" w:rsidR="004C100B" w:rsidRDefault="004C100B">
      <w:pPr>
        <w:pStyle w:val="FootnoteText"/>
      </w:pPr>
      <w:r>
        <w:rPr>
          <w:rStyle w:val="FootnoteReference"/>
        </w:rPr>
        <w:footnoteRef/>
      </w:r>
      <w:r>
        <w:t xml:space="preserve"> </w:t>
      </w:r>
      <w:r>
        <w:fldChar w:fldCharType="begin"/>
      </w:r>
      <w:r>
        <w:instrText xml:space="preserve"> ADDIN ZOTERO_ITEM CSL_CITATION {"citationID":"9yVY6Odu","properties":{"formattedCitation":"{\\rtf NALED, \\uc0\\u8222{}\\uc0\\u1040{}\\uc0\\u1085{}\\uc0\\u1072{}\\uc0\\u1083{}\\uc0\\u1080{}\\uc0\\u1079{}\\uc0\\u1072{} \\uc0\\u1080{}\\uc0\\u1085{}\\uc0\\u1089{}\\uc0\\u1087{}\\uc0\\u1077{}\\uc0\\u1082{}\\uc0\\u1094{}\\uc0\\u1080{}\\uc0\\u1112{}\\uc0\\u1072{} \\uc0\\u1091{} \\uc0\\u1056{}\\uc0\\u1077{}\\uc0\\u1087{}\\uc0\\u1091{}\\uc0\\u1073{}\\uc0\\u1083{}\\uc0\\u1080{}\\uc0\\u1094{}\\uc0\\u1080{} \\uc0\\u1057{}\\uc0\\u1088{}\\uc0\\u1073{}\\uc0\\u1080{}\\uc0\\u1112{}\\uc0\\u1080{}\\uc0\\u8220{}.}","plainCitation":"NALED, „Анализа инспекција у Републици Србији“."},"citationItems":[{"id":358,"uris":["http://zotero.org/users/1146463/items/B6SDVBQJ"],"uri":["http://zotero.org/users/1146463/items/B6SDVBQJ"],"itemData":{"id":358,"type":"webpage","title":"Анализа инспекција у Републици Србији","URL":"http://www.naled-serbia.org/upload/Document/File/2015_01/Analiza_inspekcija_u_Republici_Srbiji.pdf","author":[{"family":"NALED","given":""}],"issued":{"date-parts":[["2014",9]]},"accessed":{"date-parts":[["2016",11,22]]}}}],"schema":"https://github.com/citation-style-language/schema/raw/master/csl-citation.json"} </w:instrText>
      </w:r>
      <w:r>
        <w:fldChar w:fldCharType="separate"/>
      </w:r>
      <w:r w:rsidRPr="00FE1889">
        <w:rPr>
          <w:szCs w:val="24"/>
        </w:rPr>
        <w:t>NALED, „Анализа инспекција у Републици Србији“.</w:t>
      </w:r>
      <w:r>
        <w:fldChar w:fldCharType="end"/>
      </w:r>
    </w:p>
  </w:footnote>
  <w:footnote w:id="10">
    <w:p w14:paraId="654C8B42" w14:textId="747134A2" w:rsidR="004C100B" w:rsidRDefault="004C100B">
      <w:pPr>
        <w:pStyle w:val="FootnoteText"/>
      </w:pPr>
      <w:r>
        <w:rPr>
          <w:rStyle w:val="FootnoteReference"/>
        </w:rPr>
        <w:footnoteRef/>
      </w:r>
      <w:r>
        <w:t xml:space="preserve"> </w:t>
      </w:r>
      <w:r>
        <w:fldChar w:fldCharType="begin"/>
      </w:r>
      <w:r>
        <w:instrText xml:space="preserve"> ADDIN ZOTERO_ITEM CSL_CITATION {"citationID":"g1iU2gX9","properties":{"formattedCitation":"{\\rtf {\\i{}\\uc0\\u1040{}\\uc0\\u1082{}\\uc0\\u1094{}\\uc0\\u1080{}\\uc0\\u1086{}\\uc0\\u1085{}\\uc0\\u1080{} \\uc0\\u1087{}\\uc0\\u1083{}\\uc0\\u1072{}\\uc0\\u1085{} \\uc0\\u1079{}\\uc0\\u1072{} \\uc0\\u1089{}\\uc0\\u1087{}\\uc0\\u1088{}\\uc0\\u1086{}\\uc0\\u1074{}\\uc0\\u1086{}\\uc0\\u1106{}\\uc0\\u1077{}\\uc0\\u1114{}\\uc0\\u1077{} \\uc0\\u1080{}\\uc0\\u1085{}\\uc0\\u1080{}\\uc0\\u1094{}\\uc0\\u1080{}\\uc0\\u1112{}\\uc0\\u1072{}\\uc0\\u1090{}\\uc0\\u1080{}\\uc0\\u1074{}\\uc0\\u1077{} \\uc0\\u1055{}\\uc0\\u1072{}\\uc0\\u1088{}\\uc0\\u1090{}\\uc0\\u1085{}\\uc0\\u1077{}\\uc0\\u1088{}\\uc0\\u1089{}\\uc0\\u1090{}\\uc0\\u1074{}\\uc0\\u1086{} \\uc0\\u1079{}\\uc0\\u1072{} \\uc0\\u1086{}\\uc0\\u1090{}\\uc0\\u1074{}\\uc0\\u1086{}\\uc0\\u1088{}\\uc0\\u1077{}\\uc0\\u1085{}\\uc0\\u1091{} \\uc0\\u1091{}\\uc0\\u1087{}\\uc0\\u1088{}\\uc0\\u1072{}\\uc0\\u1074{}\\uc0\\u1091{} \\uc0\\u1091{} \\uc0\\u1056{}\\uc0\\u1077{}\\uc0\\u1087{}\\uc0\\u1091{}\\uc0\\u1073{}\\uc0\\u1083{}\\uc0\\u1080{}\\uc0\\u1094{}\\uc0\\u1080{} \\uc0\\u1057{}\\uc0\\u1088{}\\uc0\\u1073{}\\uc0\\u1080{}\\uc0\\u1112{}\\uc0\\u1080{} \\uc0\\u1079{}\\uc0\\u1072{} 2016. \\uc0\\u1080{} 2017.}}","plainCitation":"Акциони план за спровођење иницијативе Партнерство за отворену управу у Републици Србији за 2016. и 2017."},"citationItems":[{"id":368,"uris":["http://zotero.org/users/1146463/items/R9QR7AW6"],"uri":["http://zotero.org/users/1146463/items/R9QR7AW6"],"itemData":{"id":368,"type":"legislation","title":"Акциони план за спровођење иницијативе Партнерство за отворену управу у Републици Србији за 2016. и 2017.","URL":"http://www.mduls.gov.rs/doc/AP%20OGP%20Srbija%202016-17%20ser.doc"}}],"schema":"https://github.com/citation-style-language/schema/raw/master/csl-citation.json"} </w:instrText>
      </w:r>
      <w:r>
        <w:fldChar w:fldCharType="separate"/>
      </w:r>
      <w:r w:rsidRPr="004C6E4C">
        <w:rPr>
          <w:i/>
          <w:iCs/>
          <w:szCs w:val="24"/>
        </w:rPr>
        <w:t>Акциони план за спровођење иницијативе Партнерство за отворену управу у Републици Србији за 2016. и 2017.</w:t>
      </w:r>
      <w:r>
        <w:fldChar w:fldCharType="end"/>
      </w:r>
    </w:p>
  </w:footnote>
  <w:footnote w:id="11">
    <w:p w14:paraId="2618890B" w14:textId="4616341E" w:rsidR="004C100B" w:rsidRDefault="004C100B">
      <w:pPr>
        <w:pStyle w:val="FootnoteText"/>
      </w:pPr>
      <w:r>
        <w:rPr>
          <w:rStyle w:val="FootnoteReference"/>
        </w:rPr>
        <w:footnoteRef/>
      </w:r>
      <w:r>
        <w:t xml:space="preserve"> </w:t>
      </w:r>
      <w:r>
        <w:fldChar w:fldCharType="begin"/>
      </w:r>
      <w:r>
        <w:instrText xml:space="preserve"> ADDIN ZOTERO_ITEM CSL_CITATION {"citationID":"hWXKXT5F","properties":{"formattedCitation":"{\\rtf {\\i{}\\uc0\\u1047{}\\uc0\\u1072{}\\uc0\\u1082{}\\uc0\\u1086{}\\uc0\\u1085{} \\uc0\\u1086{} \\uc0\\u1086{}\\uc0\\u1087{}\\uc0\\u1096{}\\uc0\\u1090{}\\uc0\\u1077{}\\uc0\\u1084{} \\uc0\\u1091{}\\uc0\\u1087{}\\uc0\\u1088{}\\uc0\\u1072{}\\uc0\\u1074{}\\uc0\\u1085{}\\uc0\\u1086{}\\uc0\\u1084{} \\uc0\\u1087{}\\uc0\\u1086{}\\uc0\\u1089{}\\uc0\\u1090{}\\uc0\\u1091{}\\uc0\\u1087{}\\uc0\\u1082{}\\uc0\\u1091{}}.}","plainCitation":"Закон о општем управном поступку."},"citationItems":[{"id":359,"uris":["http://zotero.org/users/1146463/items/BABPUPA8"],"uri":["http://zotero.org/users/1146463/items/BABPUPA8"],"itemData":{"id":359,"type":"legislation","title":"Закон о општем управном поступку","container-title":"Службени гласник РС, 18/16","URL":"http://www.parlament.gov.rs/upload/archive/files/cir/pdf/zakoni/2016/266-16.pdf","issued":{"date-parts":[["2016",3]]},"accessed":{"date-parts":[["2016",11,24]]}}}],"schema":"https://github.com/citation-style-language/schema/raw/master/csl-citation.json"} </w:instrText>
      </w:r>
      <w:r>
        <w:fldChar w:fldCharType="separate"/>
      </w:r>
      <w:r w:rsidRPr="008104D4">
        <w:rPr>
          <w:i/>
          <w:iCs/>
          <w:szCs w:val="24"/>
        </w:rPr>
        <w:t>Закон о општем управном поступку</w:t>
      </w:r>
      <w:r w:rsidRPr="008104D4">
        <w:rPr>
          <w:szCs w:val="24"/>
        </w:rPr>
        <w:t>.</w:t>
      </w:r>
      <w:r>
        <w:fldChar w:fldCharType="end"/>
      </w:r>
    </w:p>
  </w:footnote>
  <w:footnote w:id="12">
    <w:p w14:paraId="3EAB6913" w14:textId="448F6ED0" w:rsidR="004C100B" w:rsidRPr="0024635B" w:rsidRDefault="004C100B" w:rsidP="00A329AC">
      <w:pPr>
        <w:pStyle w:val="FootnoteText"/>
      </w:pPr>
      <w:r>
        <w:rPr>
          <w:rStyle w:val="FootnoteReference"/>
        </w:rPr>
        <w:footnoteRef/>
      </w:r>
      <w:r>
        <w:t xml:space="preserve"> </w:t>
      </w:r>
      <w:r>
        <w:fldChar w:fldCharType="begin"/>
      </w:r>
      <w:r>
        <w:instrText xml:space="preserve"> ADDIN ZOTERO_ITEM CSL_CITATION {"citationID":"i7IbHwJg","properties":{"formattedCitation":"{\\rtf \\uc0\\u8222{}\\uc0\\u1048{}\\uc0\\u1085{}\\uc0\\u1090{}\\uc0\\u1077{}\\uc0\\u1088{}\\uc0\\u1085{}\\uc0\\u1077{}\\uc0\\u1090{} \\uc0\\u1076{}\\uc0\\u1086{}\\uc0\\u1084{}\\uc0\\u1077{}\\uc0\\u1085{}\\uc0\\u1080{}\\uc0\\u8220{}.}","plainCitation":"„Интернет домени“."},"citationItems":[{"id":353,"uris":["http://zotero.org/users/1146463/items/8DZ7M73K"],"uri":["http://zotero.org/users/1146463/items/8DZ7M73K"],"itemData":{"id":353,"type":"webpage","title":"Интернет домени","URL":"http://www.uzzpro.gov.rs/internet-domeni.html","accessed":{"date-parts":[["2016",11,7]]}}}],"schema":"https://github.com/citation-style-language/schema/raw/master/csl-citation.json"} </w:instrText>
      </w:r>
      <w:r>
        <w:fldChar w:fldCharType="separate"/>
      </w:r>
      <w:r w:rsidRPr="0024635B">
        <w:rPr>
          <w:szCs w:val="24"/>
        </w:rPr>
        <w:t>„Интернет домени“.</w:t>
      </w:r>
      <w:r>
        <w:fldChar w:fldCharType="end"/>
      </w:r>
    </w:p>
  </w:footnote>
  <w:footnote w:id="13">
    <w:p w14:paraId="542BF272" w14:textId="3387D89C" w:rsidR="004C100B" w:rsidRDefault="004C100B">
      <w:pPr>
        <w:pStyle w:val="FootnoteText"/>
      </w:pPr>
      <w:r>
        <w:rPr>
          <w:rStyle w:val="FootnoteReference"/>
        </w:rPr>
        <w:footnoteRef/>
      </w:r>
      <w:r>
        <w:t xml:space="preserve"> </w:t>
      </w:r>
      <w:r>
        <w:fldChar w:fldCharType="begin"/>
      </w:r>
      <w:r>
        <w:instrText xml:space="preserve"> ADDIN ZOTERO_ITEM CSL_CITATION {"citationID":"vwLs6mJd","properties":{"formattedCitation":"{\\rtf Stefanovi\\uc0\\u263{}-Petani, Medi\\uc0\\u263{}, \\uc0\\u1080{} Stefanovi\\uc0\\u263{}, \\uc0\\u8222{}Metodologija za pripremu ankete za evaluaciju inspekcijskog nadzora i postupanja inspektora\\uc0\\u8220{}.}","plainCitation":"Stefanović-Petani, Medić, и Stefanović, „Metodologija za pripremu ankete za evaluaciju inspekcijskog nadzora i postupanja inspektora“."},"citationItems":[{"id":382,"uris":["http://zotero.org/users/1146463/items/2SHGBNF6"],"uri":["http://zotero.org/users/1146463/items/2SHGBNF6"],"itemData":{"id":382,"type":"article","title":"Metodologija za pripremu ankete za evaluaciju inspekcijskog nadzora i postupanja inspektora","publisher":"USAID Projekat za bolje uslove poslovanja","author":[{"family":"Stefanović-Petani","given":"Jovana"},{"family":"Medić","given":"Duška"},{"family":"Stefanović","given":"Milan"}]}}],"schema":"https://github.com/citation-style-language/schema/raw/master/csl-citation.json"} </w:instrText>
      </w:r>
      <w:r>
        <w:fldChar w:fldCharType="separate"/>
      </w:r>
      <w:r w:rsidRPr="00FE2CDF">
        <w:rPr>
          <w:szCs w:val="24"/>
        </w:rPr>
        <w:t>Stefanović-Petani, Medić, и Stefanović, „Metodologija za pripremu ankete za evaluaciju inspekcijskog nadzora i postupanja inspektora“.</w:t>
      </w:r>
      <w:r>
        <w:fldChar w:fldCharType="end"/>
      </w:r>
    </w:p>
  </w:footnote>
  <w:footnote w:id="14">
    <w:p w14:paraId="5CAA8DE8" w14:textId="31E588F2" w:rsidR="004C100B" w:rsidRDefault="004C100B">
      <w:pPr>
        <w:pStyle w:val="FootnoteText"/>
      </w:pPr>
      <w:r>
        <w:rPr>
          <w:rStyle w:val="FootnoteReference"/>
        </w:rPr>
        <w:footnoteRef/>
      </w:r>
      <w:r>
        <w:t xml:space="preserve"> </w:t>
      </w:r>
      <w:r>
        <w:fldChar w:fldCharType="begin"/>
      </w:r>
      <w:r>
        <w:instrText xml:space="preserve"> ADDIN ZOTERO_ITEM CSL_CITATION {"citationID":"Xf4t4gRK","properties":{"formattedCitation":"{\\rtf \\uc0\\u8222{}\\uc0\\u1051{}\\uc0\\u1080{}\\uc0\\u1089{}\\uc0\\u1090{}\\uc0\\u1072{} \\uc0\\u1089{}\\uc0\\u1090{}\\uc0\\u1072{}\\uc0\\u1085{}\\uc0\\u1076{}\\uc0\\u1072{}\\uc0\\u1088{}\\uc0\\u1076{}\\uc0\\u1072{} \\uc0\\u1080{}\\uc0\\u1085{}\\uc0\\u1090{}\\uc0\\u1077{}\\uc0\\u1088{}\\uc0\\u1086{}\\uc0\\u1087{}\\uc0\\u1077{}\\uc0\\u1088{}\\uc0\\u1072{}\\uc0\\u1073{}\\uc0\\u1080{}\\uc0\\u1083{}\\uc0\\u1085{}\\uc0\\u1086{}\\uc0\\u1089{}\\uc0\\u1090{}\\uc0\\u1080{}\\uc0\\u8220{}.}","plainCitation":"„Листа стандарда интероперабилности“."},"citationItems":[{"id":370,"uris":["http://zotero.org/users/1146463/items/SWXZ4VT3"],"uri":["http://zotero.org/users/1146463/items/SWXZ4VT3"],"itemData":{"id":370,"type":"article","title":"Листа стандарда интероперабилности","publisher":"Дирекција за електронску управу","URL":"http://deu.gov.rs/doc/LISTA_%20STANDARDA_Interoperabilnosti_v_1._azurirano_%2017112014.docx","issued":{"date-parts":[["2014",6]]}}}],"schema":"https://github.com/citation-style-language/schema/raw/master/csl-citation.json"} </w:instrText>
      </w:r>
      <w:r>
        <w:fldChar w:fldCharType="separate"/>
      </w:r>
      <w:r w:rsidRPr="009559AB">
        <w:rPr>
          <w:szCs w:val="24"/>
        </w:rPr>
        <w:t>„Листа стандарда интероперабилности“.</w:t>
      </w:r>
      <w:r>
        <w:fldChar w:fldCharType="end"/>
      </w:r>
    </w:p>
  </w:footnote>
  <w:footnote w:id="15">
    <w:p w14:paraId="6D821059" w14:textId="04AB1AAD" w:rsidR="004C100B" w:rsidRDefault="004C100B">
      <w:pPr>
        <w:pStyle w:val="FootnoteText"/>
      </w:pPr>
      <w:r>
        <w:rPr>
          <w:rStyle w:val="FootnoteReference"/>
        </w:rPr>
        <w:footnoteRef/>
      </w:r>
      <w:r>
        <w:t xml:space="preserve"> </w:t>
      </w:r>
      <w:r>
        <w:fldChar w:fldCharType="begin"/>
      </w:r>
      <w:r>
        <w:instrText xml:space="preserve"> ADDIN ZOTERO_ITEM CSL_CITATION {"citationID":"X3t4RZ1F","properties":{"formattedCitation":"Ibid.","plainCitation":"Ibid."},"citationItems":[{"id":370,"uris":["http://zotero.org/users/1146463/items/SWXZ4VT3"],"uri":["http://zotero.org/users/1146463/items/SWXZ4VT3"],"itemData":{"id":370,"type":"article","title":"Листа стандарда интероперабилности","publisher":"Дирекција за електронску управу","URL":"http://deu.gov.rs/doc/LISTA_%20STANDARDA_Interoperabilnosti_v_1._azurirano_%2017112014.docx","issued":{"date-parts":[["2014",6]]}}}],"schema":"https://github.com/citation-style-language/schema/raw/master/csl-citation.json"} </w:instrText>
      </w:r>
      <w:r>
        <w:fldChar w:fldCharType="separate"/>
      </w:r>
      <w:r w:rsidRPr="00B40E03">
        <w:t>Ibid.</w:t>
      </w:r>
      <w:r>
        <w:fldChar w:fldCharType="end"/>
      </w:r>
    </w:p>
  </w:footnote>
  <w:footnote w:id="16">
    <w:p w14:paraId="309E7713" w14:textId="7B336E76" w:rsidR="004C100B" w:rsidRPr="00C77047" w:rsidRDefault="004C100B" w:rsidP="00DF7C33">
      <w:pPr>
        <w:pStyle w:val="FootnoteText"/>
      </w:pPr>
      <w:r>
        <w:rPr>
          <w:rStyle w:val="FootnoteReference"/>
        </w:rPr>
        <w:footnoteRef/>
      </w:r>
      <w:r>
        <w:t xml:space="preserve"> </w:t>
      </w:r>
      <w:r>
        <w:fldChar w:fldCharType="begin"/>
      </w:r>
      <w:r>
        <w:instrText xml:space="preserve"> ADDIN ZOTERO_ITEM CSL_CITATION {"citationID":"HqGVqPA0","properties":{"formattedCitation":"Ibid.","plainCitation":"Ibid."},"citationItems":[{"id":370,"uris":["http://zotero.org/users/1146463/items/SWXZ4VT3"],"uri":["http://zotero.org/users/1146463/items/SWXZ4VT3"],"itemData":{"id":370,"type":"article","title":"Листа стандарда интероперабилности","publisher":"Дирекција за електронску управу","URL":"http://deu.gov.rs/doc/LISTA_%20STANDARDA_Interoperabilnosti_v_1._azurirano_%2017112014.docx","issued":{"date-parts":[["2014",6]]}}}],"schema":"https://github.com/citation-style-language/schema/raw/master/csl-citation.json"} </w:instrText>
      </w:r>
      <w:r>
        <w:fldChar w:fldCharType="separate"/>
      </w:r>
      <w:r w:rsidRPr="009559AB">
        <w:t>Ibid.</w:t>
      </w:r>
      <w:r>
        <w:fldChar w:fldCharType="end"/>
      </w:r>
    </w:p>
  </w:footnote>
  <w:footnote w:id="17">
    <w:p w14:paraId="37B22228" w14:textId="0E7A4844" w:rsidR="004C100B" w:rsidRDefault="004C100B" w:rsidP="00DF7C33">
      <w:pPr>
        <w:pStyle w:val="FootnoteText"/>
      </w:pPr>
      <w:r>
        <w:rPr>
          <w:rStyle w:val="FootnoteReference"/>
        </w:rPr>
        <w:footnoteRef/>
      </w:r>
      <w:r>
        <w:t xml:space="preserve"> </w:t>
      </w:r>
      <w:r>
        <w:fldChar w:fldCharType="begin"/>
      </w:r>
      <w:r>
        <w:instrText xml:space="preserve"> ADDIN ZOTERO_ITEM CSL_CITATION {"citationID":"QQUpeC0x","properties":{"formattedCitation":"{\\rtf \\uc0\\u8222{}The W3C Markup Validation Service\\uc0\\u8220{}.}","plainCitation":"„The W3C Markup Validation Service“."},"citationItems":[{"id":363,"uris":["http://zotero.org/users/1146463/items/KW73BKFC"],"uri":["http://zotero.org/users/1146463/items/KW73BKFC"],"itemData":{"id":363,"type":"webpage","title":"The W3C Markup Validation Service","URL":"https://validator.w3.org/","accessed":{"date-parts":[["2016",11,4]]}}}],"schema":"https://github.com/citation-style-language/schema/raw/master/csl-citation.json"} </w:instrText>
      </w:r>
      <w:r>
        <w:fldChar w:fldCharType="separate"/>
      </w:r>
      <w:r w:rsidRPr="00D17F66">
        <w:rPr>
          <w:szCs w:val="24"/>
        </w:rPr>
        <w:t>„The W3C Markup Validation Service“.</w:t>
      </w:r>
      <w:r>
        <w:fldChar w:fldCharType="end"/>
      </w:r>
    </w:p>
  </w:footnote>
  <w:footnote w:id="18">
    <w:p w14:paraId="560C766A" w14:textId="49D56541" w:rsidR="004C100B" w:rsidRPr="00A4385A" w:rsidRDefault="004C100B" w:rsidP="00DF7C33">
      <w:pPr>
        <w:pStyle w:val="FootnoteText"/>
      </w:pPr>
      <w:r>
        <w:rPr>
          <w:rStyle w:val="FootnoteReference"/>
        </w:rPr>
        <w:footnoteRef/>
      </w:r>
      <w:r>
        <w:t xml:space="preserve"> </w:t>
      </w:r>
      <w:r>
        <w:fldChar w:fldCharType="begin"/>
      </w:r>
      <w:r>
        <w:instrText xml:space="preserve"> ADDIN ZOTERO_ITEM CSL_CITATION {"citationID":"vtbpEl1p","properties":{"formattedCitation":"{\\rtf \\uc0\\u8222{}The W3C CSS Validation Service\\uc0\\u8220{}.}","plainCitation":"„The W3C CSS Validation Service“."},"citationItems":[{"id":372,"uris":["http://zotero.org/users/1146463/items/UCVNUUW7"],"uri":["http://zotero.org/users/1146463/items/UCVNUUW7"],"itemData":{"id":372,"type":"webpage","title":"The W3C CSS Validation Service","URL":"https://jigsaw.w3.org/css-validator/","accessed":{"date-parts":[["2016",11,4]]}}}],"schema":"https://github.com/citation-style-language/schema/raw/master/csl-citation.json"} </w:instrText>
      </w:r>
      <w:r>
        <w:fldChar w:fldCharType="separate"/>
      </w:r>
      <w:r w:rsidRPr="00D17F66">
        <w:rPr>
          <w:szCs w:val="24"/>
        </w:rPr>
        <w:t>„The W3C CSS Validation Service“.</w:t>
      </w:r>
      <w:r>
        <w:fldChar w:fldCharType="end"/>
      </w:r>
    </w:p>
  </w:footnote>
  <w:footnote w:id="19">
    <w:p w14:paraId="7F3867CE" w14:textId="3BD09843" w:rsidR="004C100B" w:rsidRDefault="004C100B">
      <w:pPr>
        <w:pStyle w:val="FootnoteText"/>
      </w:pPr>
      <w:r>
        <w:rPr>
          <w:rStyle w:val="FootnoteReference"/>
        </w:rPr>
        <w:footnoteRef/>
      </w:r>
      <w:r>
        <w:t xml:space="preserve"> </w:t>
      </w:r>
      <w:r>
        <w:fldChar w:fldCharType="begin"/>
      </w:r>
      <w:r>
        <w:instrText xml:space="preserve"> ADDIN ZOTERO_ITEM CSL_CITATION {"citationID":"JrZ3VvjP","properties":{"formattedCitation":"{\\rtf \\uc0\\u1044{}\\uc0\\u1080{}\\uc0\\u1088{}\\uc0\\u1077{}\\uc0\\u1082{}\\uc0\\u1094{}\\uc0\\u1080{}\\uc0\\u1112{}\\uc0\\u1072{} \\uc0\\u1079{}\\uc0\\u1072{} \\uc0\\u1077{}\\uc0\\u1083{}\\uc0\\u1077{}\\uc0\\u1082{}\\uc0\\u1090{}\\uc0\\u1088{}\\uc0\\u1086{}\\uc0\\u1085{}\\uc0\\u1089{}\\uc0\\u1082{}\\uc0\\u1091{} \\uc0\\u1091{}\\uc0\\u1087{}\\uc0\\u1088{}\\uc0\\u1072{}\\uc0\\u1074{}\\uc0\\u1091{}, \\uc0\\u8222{}\\uc0\\u1057{}\\uc0\\u1084{}\\uc0\\u1077{}\\uc0\\u1088{}\\uc0\\u1085{}\\uc0\\u1080{}\\uc0\\u1094{}\\uc0\\u1077{} \\uc0\\u1079{}\\uc0\\u1072{} \\uc0\\u1080{}\\uc0\\u1079{}\\uc0\\u1088{}\\uc0\\u1072{}\\uc0\\u1076{}\\uc0\\u1091{} \\uc0\\u1074{}\\uc0\\u1077{}\\uc0\\u1073{} \\uc0\\u1087{}\\uc0\\u1088{}\\uc0\\u1077{}\\uc0\\u1079{}\\uc0\\u1077{}\\uc0\\u1085{}\\uc0\\u1090{}\\uc0\\u1072{}\\uc0\\u1094{}\\uc0\\u1080{}\\uc0\\u1112{}\\uc0\\u1072{} \\uc0\\u1086{}\\uc0\\u1088{}\\uc0\\u1075{}\\uc0\\u1072{}\\uc0\\u1085{}\\uc0\\u1072{} \\uc0\\u1076{}\\uc0\\u1088{}\\uc0\\u1078{}\\uc0\\u1072{}\\uc0\\u1074{}\\uc0\\u1085{}\\uc0\\u1077{} \\uc0\\u1091{}\\uc0\\u1087{}\\uc0\\u1088{}\\uc0\\u1072{}\\uc0\\u1074{}\\uc0\\u1077{} \\uc0\\u1074{}5.0\\uc0\\u8220{}.}","plainCitation":"Дирекција за електронску управу, „Смернице за израду веб презентација органа државне управе в5.0“."},"citationItems":[{"id":380,"uris":["http://zotero.org/users/1146463/items/HV4FQ7BE"],"uri":["http://zotero.org/users/1146463/items/HV4FQ7BE"],"itemData":{"id":380,"type":"webpage","title":"Смернице за израду веб презентација органа државне управе в5.0","URL":"http://www.deu.gov.rs/doc/Smernice_5_0.pdf","author":[{"family":"Дирекција за електронску управу","given":""}],"accessed":{"date-parts":[["2016",12,3]]}}}],"schema":"https://github.com/citation-style-language/schema/raw/master/csl-citation.json"} </w:instrText>
      </w:r>
      <w:r>
        <w:fldChar w:fldCharType="separate"/>
      </w:r>
      <w:r w:rsidRPr="00621351">
        <w:rPr>
          <w:szCs w:val="24"/>
        </w:rPr>
        <w:t>Дирекција за електронску управу, „Смернице за израду веб презентација органа државне управе в5.0“.</w:t>
      </w:r>
      <w:r>
        <w:fldChar w:fldCharType="end"/>
      </w:r>
    </w:p>
  </w:footnote>
  <w:footnote w:id="20">
    <w:p w14:paraId="198C4628" w14:textId="50329DE1" w:rsidR="00C66018" w:rsidRPr="00C66018" w:rsidRDefault="00C66018">
      <w:pPr>
        <w:pStyle w:val="FootnoteText"/>
        <w:rPr>
          <w:lang w:val="en-US"/>
        </w:rPr>
      </w:pPr>
      <w:r>
        <w:rPr>
          <w:rStyle w:val="FootnoteReference"/>
        </w:rPr>
        <w:footnoteRef/>
      </w:r>
      <w:r>
        <w:t xml:space="preserve"> </w:t>
      </w:r>
      <w:r>
        <w:fldChar w:fldCharType="begin"/>
      </w:r>
      <w:r>
        <w:instrText xml:space="preserve"> ADDIN ZOTERO_ITEM CSL_CITATION {"citationID":"GeLFcaGy","properties":{"formattedCitation":"{\\rtf \\uc0\\u8222{}Sanitarna inspekcija APV\\uc0\\u8220{}.}","plainCitation":"„Sanitarna inspekcija APV“."},"citationItems":[{"id":383,"uris":["http://zotero.org/users/1146463/items/9VJTKB7R"],"uri":["http://zotero.org/users/1146463/items/9VJTKB7R"],"itemData":{"id":383,"type":"webpage","title":"Sanitarna inspekcija APV","URL":"http://185.166.125.151/~sanitarci/","accessed":{"date-parts":[["2016",12,3]]}}}],"schema":"https://github.com/citation-style-language/schema/raw/master/csl-citation.json"} </w:instrText>
      </w:r>
      <w:r>
        <w:fldChar w:fldCharType="separate"/>
      </w:r>
      <w:r w:rsidRPr="00C66018">
        <w:rPr>
          <w:szCs w:val="24"/>
        </w:rPr>
        <w:t>„Sanitarna inspekcija APV“.</w:t>
      </w:r>
      <w:r>
        <w:fldChar w:fldCharType="end"/>
      </w:r>
    </w:p>
  </w:footnote>
  <w:footnote w:id="21">
    <w:p w14:paraId="6B58B1FF" w14:textId="6C9BE096" w:rsidR="004C100B" w:rsidRDefault="004C100B">
      <w:pPr>
        <w:pStyle w:val="FootnoteText"/>
      </w:pPr>
      <w:r>
        <w:rPr>
          <w:rStyle w:val="FootnoteReference"/>
        </w:rPr>
        <w:footnoteRef/>
      </w:r>
      <w:r>
        <w:t xml:space="preserve"> </w:t>
      </w:r>
      <w:r>
        <w:fldChar w:fldCharType="begin"/>
      </w:r>
      <w:r>
        <w:instrText xml:space="preserve"> ADDIN ZOTERO_ITEM CSL_CITATION {"citationID":"Yq5K30MR","properties":{"formattedCitation":"{\\rtf \\uc0\\u8222{}United Nations E-Government Survey 2012: E-Government for the People\\uc0\\u8220{}.}","plainCitation":"„United Nations E-Government Survey 2012: E-Government for the People“."},"citationItems":[{"id":31,"uris":["http://zotero.org/users/1146463/items/BBSFI5S9"],"uri":["http://zotero.org/users/1146463/items/BBSFI5S9"],"itemData":{"id":31,"type":"report","title":"United Nations E-Government Survey 2012: E-Government for the People","collection-title":"U.N. Publications","publisher-place":"New York","event-place":"New York","note":"00000","issued":{"date-parts":[["2012"]]}}}],"schema":"https://github.com/citation-style-language/schema/raw/master/csl-citation.json"} </w:instrText>
      </w:r>
      <w:r>
        <w:fldChar w:fldCharType="separate"/>
      </w:r>
      <w:r w:rsidRPr="00F62999">
        <w:rPr>
          <w:szCs w:val="24"/>
        </w:rPr>
        <w:t>„United Nations E-Government Survey 2012: E-Government for the People“.</w:t>
      </w:r>
      <w: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1D96"/>
    <w:multiLevelType w:val="hybridMultilevel"/>
    <w:tmpl w:val="82CADF94"/>
    <w:lvl w:ilvl="0" w:tplc="43AC7574">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744F95"/>
    <w:multiLevelType w:val="hybridMultilevel"/>
    <w:tmpl w:val="8B54AFAE"/>
    <w:lvl w:ilvl="0" w:tplc="241A0001">
      <w:start w:val="1"/>
      <w:numFmt w:val="bullet"/>
      <w:lvlText w:val=""/>
      <w:lvlJc w:val="left"/>
      <w:pPr>
        <w:ind w:left="1400" w:hanging="360"/>
      </w:pPr>
      <w:rPr>
        <w:rFonts w:ascii="Symbol" w:hAnsi="Symbol" w:hint="default"/>
      </w:rPr>
    </w:lvl>
    <w:lvl w:ilvl="1" w:tplc="241A0003" w:tentative="1">
      <w:start w:val="1"/>
      <w:numFmt w:val="bullet"/>
      <w:lvlText w:val="o"/>
      <w:lvlJc w:val="left"/>
      <w:pPr>
        <w:ind w:left="2120" w:hanging="360"/>
      </w:pPr>
      <w:rPr>
        <w:rFonts w:ascii="Courier New" w:hAnsi="Courier New" w:cs="Courier New" w:hint="default"/>
      </w:rPr>
    </w:lvl>
    <w:lvl w:ilvl="2" w:tplc="241A0005" w:tentative="1">
      <w:start w:val="1"/>
      <w:numFmt w:val="bullet"/>
      <w:lvlText w:val=""/>
      <w:lvlJc w:val="left"/>
      <w:pPr>
        <w:ind w:left="2840" w:hanging="360"/>
      </w:pPr>
      <w:rPr>
        <w:rFonts w:ascii="Wingdings" w:hAnsi="Wingdings" w:hint="default"/>
      </w:rPr>
    </w:lvl>
    <w:lvl w:ilvl="3" w:tplc="241A0001" w:tentative="1">
      <w:start w:val="1"/>
      <w:numFmt w:val="bullet"/>
      <w:lvlText w:val=""/>
      <w:lvlJc w:val="left"/>
      <w:pPr>
        <w:ind w:left="3560" w:hanging="360"/>
      </w:pPr>
      <w:rPr>
        <w:rFonts w:ascii="Symbol" w:hAnsi="Symbol" w:hint="default"/>
      </w:rPr>
    </w:lvl>
    <w:lvl w:ilvl="4" w:tplc="241A0003" w:tentative="1">
      <w:start w:val="1"/>
      <w:numFmt w:val="bullet"/>
      <w:lvlText w:val="o"/>
      <w:lvlJc w:val="left"/>
      <w:pPr>
        <w:ind w:left="4280" w:hanging="360"/>
      </w:pPr>
      <w:rPr>
        <w:rFonts w:ascii="Courier New" w:hAnsi="Courier New" w:cs="Courier New" w:hint="default"/>
      </w:rPr>
    </w:lvl>
    <w:lvl w:ilvl="5" w:tplc="241A0005" w:tentative="1">
      <w:start w:val="1"/>
      <w:numFmt w:val="bullet"/>
      <w:lvlText w:val=""/>
      <w:lvlJc w:val="left"/>
      <w:pPr>
        <w:ind w:left="5000" w:hanging="360"/>
      </w:pPr>
      <w:rPr>
        <w:rFonts w:ascii="Wingdings" w:hAnsi="Wingdings" w:hint="default"/>
      </w:rPr>
    </w:lvl>
    <w:lvl w:ilvl="6" w:tplc="241A0001" w:tentative="1">
      <w:start w:val="1"/>
      <w:numFmt w:val="bullet"/>
      <w:lvlText w:val=""/>
      <w:lvlJc w:val="left"/>
      <w:pPr>
        <w:ind w:left="5720" w:hanging="360"/>
      </w:pPr>
      <w:rPr>
        <w:rFonts w:ascii="Symbol" w:hAnsi="Symbol" w:hint="default"/>
      </w:rPr>
    </w:lvl>
    <w:lvl w:ilvl="7" w:tplc="241A0003" w:tentative="1">
      <w:start w:val="1"/>
      <w:numFmt w:val="bullet"/>
      <w:lvlText w:val="o"/>
      <w:lvlJc w:val="left"/>
      <w:pPr>
        <w:ind w:left="6440" w:hanging="360"/>
      </w:pPr>
      <w:rPr>
        <w:rFonts w:ascii="Courier New" w:hAnsi="Courier New" w:cs="Courier New" w:hint="default"/>
      </w:rPr>
    </w:lvl>
    <w:lvl w:ilvl="8" w:tplc="241A0005" w:tentative="1">
      <w:start w:val="1"/>
      <w:numFmt w:val="bullet"/>
      <w:lvlText w:val=""/>
      <w:lvlJc w:val="left"/>
      <w:pPr>
        <w:ind w:left="7160" w:hanging="360"/>
      </w:pPr>
      <w:rPr>
        <w:rFonts w:ascii="Wingdings" w:hAnsi="Wingdings" w:hint="default"/>
      </w:rPr>
    </w:lvl>
  </w:abstractNum>
  <w:abstractNum w:abstractNumId="2" w15:restartNumberingAfterBreak="0">
    <w:nsid w:val="0E6741BA"/>
    <w:multiLevelType w:val="hybridMultilevel"/>
    <w:tmpl w:val="30E8990E"/>
    <w:lvl w:ilvl="0" w:tplc="241A0001">
      <w:start w:val="1"/>
      <w:numFmt w:val="bullet"/>
      <w:lvlText w:val=""/>
      <w:lvlJc w:val="left"/>
      <w:pPr>
        <w:ind w:left="1400" w:hanging="360"/>
      </w:pPr>
      <w:rPr>
        <w:rFonts w:ascii="Symbol" w:hAnsi="Symbol" w:hint="default"/>
      </w:rPr>
    </w:lvl>
    <w:lvl w:ilvl="1" w:tplc="241A0003" w:tentative="1">
      <w:start w:val="1"/>
      <w:numFmt w:val="bullet"/>
      <w:lvlText w:val="o"/>
      <w:lvlJc w:val="left"/>
      <w:pPr>
        <w:ind w:left="2120" w:hanging="360"/>
      </w:pPr>
      <w:rPr>
        <w:rFonts w:ascii="Courier New" w:hAnsi="Courier New" w:cs="Courier New" w:hint="default"/>
      </w:rPr>
    </w:lvl>
    <w:lvl w:ilvl="2" w:tplc="241A0005" w:tentative="1">
      <w:start w:val="1"/>
      <w:numFmt w:val="bullet"/>
      <w:lvlText w:val=""/>
      <w:lvlJc w:val="left"/>
      <w:pPr>
        <w:ind w:left="2840" w:hanging="360"/>
      </w:pPr>
      <w:rPr>
        <w:rFonts w:ascii="Wingdings" w:hAnsi="Wingdings" w:hint="default"/>
      </w:rPr>
    </w:lvl>
    <w:lvl w:ilvl="3" w:tplc="241A0001" w:tentative="1">
      <w:start w:val="1"/>
      <w:numFmt w:val="bullet"/>
      <w:lvlText w:val=""/>
      <w:lvlJc w:val="left"/>
      <w:pPr>
        <w:ind w:left="3560" w:hanging="360"/>
      </w:pPr>
      <w:rPr>
        <w:rFonts w:ascii="Symbol" w:hAnsi="Symbol" w:hint="default"/>
      </w:rPr>
    </w:lvl>
    <w:lvl w:ilvl="4" w:tplc="241A0003" w:tentative="1">
      <w:start w:val="1"/>
      <w:numFmt w:val="bullet"/>
      <w:lvlText w:val="o"/>
      <w:lvlJc w:val="left"/>
      <w:pPr>
        <w:ind w:left="4280" w:hanging="360"/>
      </w:pPr>
      <w:rPr>
        <w:rFonts w:ascii="Courier New" w:hAnsi="Courier New" w:cs="Courier New" w:hint="default"/>
      </w:rPr>
    </w:lvl>
    <w:lvl w:ilvl="5" w:tplc="241A0005" w:tentative="1">
      <w:start w:val="1"/>
      <w:numFmt w:val="bullet"/>
      <w:lvlText w:val=""/>
      <w:lvlJc w:val="left"/>
      <w:pPr>
        <w:ind w:left="5000" w:hanging="360"/>
      </w:pPr>
      <w:rPr>
        <w:rFonts w:ascii="Wingdings" w:hAnsi="Wingdings" w:hint="default"/>
      </w:rPr>
    </w:lvl>
    <w:lvl w:ilvl="6" w:tplc="241A0001" w:tentative="1">
      <w:start w:val="1"/>
      <w:numFmt w:val="bullet"/>
      <w:lvlText w:val=""/>
      <w:lvlJc w:val="left"/>
      <w:pPr>
        <w:ind w:left="5720" w:hanging="360"/>
      </w:pPr>
      <w:rPr>
        <w:rFonts w:ascii="Symbol" w:hAnsi="Symbol" w:hint="default"/>
      </w:rPr>
    </w:lvl>
    <w:lvl w:ilvl="7" w:tplc="241A0003" w:tentative="1">
      <w:start w:val="1"/>
      <w:numFmt w:val="bullet"/>
      <w:lvlText w:val="o"/>
      <w:lvlJc w:val="left"/>
      <w:pPr>
        <w:ind w:left="6440" w:hanging="360"/>
      </w:pPr>
      <w:rPr>
        <w:rFonts w:ascii="Courier New" w:hAnsi="Courier New" w:cs="Courier New" w:hint="default"/>
      </w:rPr>
    </w:lvl>
    <w:lvl w:ilvl="8" w:tplc="241A0005" w:tentative="1">
      <w:start w:val="1"/>
      <w:numFmt w:val="bullet"/>
      <w:lvlText w:val=""/>
      <w:lvlJc w:val="left"/>
      <w:pPr>
        <w:ind w:left="7160" w:hanging="360"/>
      </w:pPr>
      <w:rPr>
        <w:rFonts w:ascii="Wingdings" w:hAnsi="Wingdings" w:hint="default"/>
      </w:rPr>
    </w:lvl>
  </w:abstractNum>
  <w:abstractNum w:abstractNumId="3" w15:restartNumberingAfterBreak="0">
    <w:nsid w:val="11896773"/>
    <w:multiLevelType w:val="hybridMultilevel"/>
    <w:tmpl w:val="D07A6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2844E0"/>
    <w:multiLevelType w:val="hybridMultilevel"/>
    <w:tmpl w:val="E760DC62"/>
    <w:lvl w:ilvl="0" w:tplc="ED324036">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3C0E24A6"/>
    <w:multiLevelType w:val="hybridMultilevel"/>
    <w:tmpl w:val="3B30FA8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49410E84"/>
    <w:multiLevelType w:val="hybridMultilevel"/>
    <w:tmpl w:val="1E6A46D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4B7F0E82"/>
    <w:multiLevelType w:val="hybridMultilevel"/>
    <w:tmpl w:val="D9400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CE6000"/>
    <w:multiLevelType w:val="hybridMultilevel"/>
    <w:tmpl w:val="32680946"/>
    <w:lvl w:ilvl="0" w:tplc="241A0001">
      <w:start w:val="1"/>
      <w:numFmt w:val="bullet"/>
      <w:lvlText w:val=""/>
      <w:lvlJc w:val="left"/>
      <w:pPr>
        <w:ind w:left="1400" w:hanging="360"/>
      </w:pPr>
      <w:rPr>
        <w:rFonts w:ascii="Symbol" w:hAnsi="Symbol" w:hint="default"/>
      </w:rPr>
    </w:lvl>
    <w:lvl w:ilvl="1" w:tplc="241A0003" w:tentative="1">
      <w:start w:val="1"/>
      <w:numFmt w:val="bullet"/>
      <w:lvlText w:val="o"/>
      <w:lvlJc w:val="left"/>
      <w:pPr>
        <w:ind w:left="2120" w:hanging="360"/>
      </w:pPr>
      <w:rPr>
        <w:rFonts w:ascii="Courier New" w:hAnsi="Courier New" w:cs="Courier New" w:hint="default"/>
      </w:rPr>
    </w:lvl>
    <w:lvl w:ilvl="2" w:tplc="241A0005" w:tentative="1">
      <w:start w:val="1"/>
      <w:numFmt w:val="bullet"/>
      <w:lvlText w:val=""/>
      <w:lvlJc w:val="left"/>
      <w:pPr>
        <w:ind w:left="2840" w:hanging="360"/>
      </w:pPr>
      <w:rPr>
        <w:rFonts w:ascii="Wingdings" w:hAnsi="Wingdings" w:hint="default"/>
      </w:rPr>
    </w:lvl>
    <w:lvl w:ilvl="3" w:tplc="241A0001" w:tentative="1">
      <w:start w:val="1"/>
      <w:numFmt w:val="bullet"/>
      <w:lvlText w:val=""/>
      <w:lvlJc w:val="left"/>
      <w:pPr>
        <w:ind w:left="3560" w:hanging="360"/>
      </w:pPr>
      <w:rPr>
        <w:rFonts w:ascii="Symbol" w:hAnsi="Symbol" w:hint="default"/>
      </w:rPr>
    </w:lvl>
    <w:lvl w:ilvl="4" w:tplc="241A0003" w:tentative="1">
      <w:start w:val="1"/>
      <w:numFmt w:val="bullet"/>
      <w:lvlText w:val="o"/>
      <w:lvlJc w:val="left"/>
      <w:pPr>
        <w:ind w:left="4280" w:hanging="360"/>
      </w:pPr>
      <w:rPr>
        <w:rFonts w:ascii="Courier New" w:hAnsi="Courier New" w:cs="Courier New" w:hint="default"/>
      </w:rPr>
    </w:lvl>
    <w:lvl w:ilvl="5" w:tplc="241A0005" w:tentative="1">
      <w:start w:val="1"/>
      <w:numFmt w:val="bullet"/>
      <w:lvlText w:val=""/>
      <w:lvlJc w:val="left"/>
      <w:pPr>
        <w:ind w:left="5000" w:hanging="360"/>
      </w:pPr>
      <w:rPr>
        <w:rFonts w:ascii="Wingdings" w:hAnsi="Wingdings" w:hint="default"/>
      </w:rPr>
    </w:lvl>
    <w:lvl w:ilvl="6" w:tplc="241A0001" w:tentative="1">
      <w:start w:val="1"/>
      <w:numFmt w:val="bullet"/>
      <w:lvlText w:val=""/>
      <w:lvlJc w:val="left"/>
      <w:pPr>
        <w:ind w:left="5720" w:hanging="360"/>
      </w:pPr>
      <w:rPr>
        <w:rFonts w:ascii="Symbol" w:hAnsi="Symbol" w:hint="default"/>
      </w:rPr>
    </w:lvl>
    <w:lvl w:ilvl="7" w:tplc="241A0003" w:tentative="1">
      <w:start w:val="1"/>
      <w:numFmt w:val="bullet"/>
      <w:lvlText w:val="o"/>
      <w:lvlJc w:val="left"/>
      <w:pPr>
        <w:ind w:left="6440" w:hanging="360"/>
      </w:pPr>
      <w:rPr>
        <w:rFonts w:ascii="Courier New" w:hAnsi="Courier New" w:cs="Courier New" w:hint="default"/>
      </w:rPr>
    </w:lvl>
    <w:lvl w:ilvl="8" w:tplc="241A0005" w:tentative="1">
      <w:start w:val="1"/>
      <w:numFmt w:val="bullet"/>
      <w:lvlText w:val=""/>
      <w:lvlJc w:val="left"/>
      <w:pPr>
        <w:ind w:left="7160" w:hanging="360"/>
      </w:pPr>
      <w:rPr>
        <w:rFonts w:ascii="Wingdings" w:hAnsi="Wingdings" w:hint="default"/>
      </w:rPr>
    </w:lvl>
  </w:abstractNum>
  <w:abstractNum w:abstractNumId="9" w15:restartNumberingAfterBreak="0">
    <w:nsid w:val="719A61D5"/>
    <w:multiLevelType w:val="hybridMultilevel"/>
    <w:tmpl w:val="EAC4EDDA"/>
    <w:lvl w:ilvl="0" w:tplc="F8325948">
      <w:start w:val="1"/>
      <w:numFmt w:val="bullet"/>
      <w:pStyle w:val="ListParagraph"/>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75D24EE7"/>
    <w:multiLevelType w:val="hybridMultilevel"/>
    <w:tmpl w:val="675A417A"/>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7E3F7B30"/>
    <w:multiLevelType w:val="hybridMultilevel"/>
    <w:tmpl w:val="5F54898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5"/>
  </w:num>
  <w:num w:numId="5">
    <w:abstractNumId w:val="11"/>
  </w:num>
  <w:num w:numId="6">
    <w:abstractNumId w:val="9"/>
  </w:num>
  <w:num w:numId="7">
    <w:abstractNumId w:val="10"/>
  </w:num>
  <w:num w:numId="8">
    <w:abstractNumId w:val="6"/>
  </w:num>
  <w:num w:numId="9">
    <w:abstractNumId w:val="4"/>
  </w:num>
  <w:num w:numId="10">
    <w:abstractNumId w:val="2"/>
  </w:num>
  <w:num w:numId="11">
    <w:abstractNumId w:val="8"/>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KxNDMxMzEyMzAzMDFQ0lEKTi0uzszPAykwMqkFAA8OQqEtAAAA"/>
  </w:docVars>
  <w:rsids>
    <w:rsidRoot w:val="00FB6073"/>
    <w:rsid w:val="00003864"/>
    <w:rsid w:val="00004481"/>
    <w:rsid w:val="00022331"/>
    <w:rsid w:val="00027534"/>
    <w:rsid w:val="00041A3B"/>
    <w:rsid w:val="000420BF"/>
    <w:rsid w:val="00052E7C"/>
    <w:rsid w:val="00056560"/>
    <w:rsid w:val="00093B20"/>
    <w:rsid w:val="000A0A53"/>
    <w:rsid w:val="000B3517"/>
    <w:rsid w:val="000D22A5"/>
    <w:rsid w:val="000D2675"/>
    <w:rsid w:val="000D27B3"/>
    <w:rsid w:val="000F17C6"/>
    <w:rsid w:val="000F4B5C"/>
    <w:rsid w:val="000F5769"/>
    <w:rsid w:val="00120403"/>
    <w:rsid w:val="001239B3"/>
    <w:rsid w:val="0016642A"/>
    <w:rsid w:val="00172581"/>
    <w:rsid w:val="00172600"/>
    <w:rsid w:val="00181A4D"/>
    <w:rsid w:val="001821F5"/>
    <w:rsid w:val="001B7C12"/>
    <w:rsid w:val="001C6D41"/>
    <w:rsid w:val="001E7507"/>
    <w:rsid w:val="002111E9"/>
    <w:rsid w:val="00233642"/>
    <w:rsid w:val="002368F5"/>
    <w:rsid w:val="00243361"/>
    <w:rsid w:val="0024635B"/>
    <w:rsid w:val="00260BA2"/>
    <w:rsid w:val="00267033"/>
    <w:rsid w:val="002712FF"/>
    <w:rsid w:val="00286117"/>
    <w:rsid w:val="002C75EE"/>
    <w:rsid w:val="002D4C38"/>
    <w:rsid w:val="002E4008"/>
    <w:rsid w:val="00305EFF"/>
    <w:rsid w:val="00312224"/>
    <w:rsid w:val="003208D3"/>
    <w:rsid w:val="003330D2"/>
    <w:rsid w:val="0033420D"/>
    <w:rsid w:val="00341CD3"/>
    <w:rsid w:val="00363661"/>
    <w:rsid w:val="003720A8"/>
    <w:rsid w:val="003841B2"/>
    <w:rsid w:val="003A2EFF"/>
    <w:rsid w:val="003A46D9"/>
    <w:rsid w:val="003C2F85"/>
    <w:rsid w:val="003D258F"/>
    <w:rsid w:val="003E25C1"/>
    <w:rsid w:val="003E400E"/>
    <w:rsid w:val="00430CE1"/>
    <w:rsid w:val="00440056"/>
    <w:rsid w:val="0044209A"/>
    <w:rsid w:val="00450E08"/>
    <w:rsid w:val="00463B54"/>
    <w:rsid w:val="00475FA6"/>
    <w:rsid w:val="004A5D6A"/>
    <w:rsid w:val="004B717B"/>
    <w:rsid w:val="004B78F3"/>
    <w:rsid w:val="004C100B"/>
    <w:rsid w:val="004C63D6"/>
    <w:rsid w:val="004C6E4C"/>
    <w:rsid w:val="0051666C"/>
    <w:rsid w:val="00534116"/>
    <w:rsid w:val="005367E3"/>
    <w:rsid w:val="00556636"/>
    <w:rsid w:val="00560B2F"/>
    <w:rsid w:val="00561969"/>
    <w:rsid w:val="0056227E"/>
    <w:rsid w:val="00563A51"/>
    <w:rsid w:val="00567A8B"/>
    <w:rsid w:val="00582735"/>
    <w:rsid w:val="00585D0B"/>
    <w:rsid w:val="005C2576"/>
    <w:rsid w:val="005C6167"/>
    <w:rsid w:val="005D4C4A"/>
    <w:rsid w:val="00602B35"/>
    <w:rsid w:val="006065B1"/>
    <w:rsid w:val="006101F8"/>
    <w:rsid w:val="00610850"/>
    <w:rsid w:val="00610EA9"/>
    <w:rsid w:val="00621351"/>
    <w:rsid w:val="00625BD8"/>
    <w:rsid w:val="00642EF0"/>
    <w:rsid w:val="0064570E"/>
    <w:rsid w:val="00650597"/>
    <w:rsid w:val="00650D78"/>
    <w:rsid w:val="006549BE"/>
    <w:rsid w:val="0066058D"/>
    <w:rsid w:val="00660F9C"/>
    <w:rsid w:val="00662511"/>
    <w:rsid w:val="00664451"/>
    <w:rsid w:val="006A0C20"/>
    <w:rsid w:val="006E21F1"/>
    <w:rsid w:val="006F4646"/>
    <w:rsid w:val="006F75E9"/>
    <w:rsid w:val="007030F4"/>
    <w:rsid w:val="00704B5B"/>
    <w:rsid w:val="00706AC8"/>
    <w:rsid w:val="00721731"/>
    <w:rsid w:val="00721B48"/>
    <w:rsid w:val="00740237"/>
    <w:rsid w:val="0075163C"/>
    <w:rsid w:val="00760702"/>
    <w:rsid w:val="00767DF4"/>
    <w:rsid w:val="00772FC9"/>
    <w:rsid w:val="007744B2"/>
    <w:rsid w:val="00797C47"/>
    <w:rsid w:val="007A1CC5"/>
    <w:rsid w:val="007A1CDB"/>
    <w:rsid w:val="007A443A"/>
    <w:rsid w:val="007A61A4"/>
    <w:rsid w:val="007B6BB0"/>
    <w:rsid w:val="007D7590"/>
    <w:rsid w:val="007E01D6"/>
    <w:rsid w:val="007E03CA"/>
    <w:rsid w:val="007F03FD"/>
    <w:rsid w:val="007F72A2"/>
    <w:rsid w:val="007F748B"/>
    <w:rsid w:val="00807460"/>
    <w:rsid w:val="008104D4"/>
    <w:rsid w:val="008136F5"/>
    <w:rsid w:val="00833377"/>
    <w:rsid w:val="00834058"/>
    <w:rsid w:val="008A4EB2"/>
    <w:rsid w:val="008C5A0E"/>
    <w:rsid w:val="008D6233"/>
    <w:rsid w:val="008E5E60"/>
    <w:rsid w:val="008F1E79"/>
    <w:rsid w:val="009309D1"/>
    <w:rsid w:val="009312C1"/>
    <w:rsid w:val="009559AB"/>
    <w:rsid w:val="0097329D"/>
    <w:rsid w:val="009808FB"/>
    <w:rsid w:val="00981AA1"/>
    <w:rsid w:val="009B4279"/>
    <w:rsid w:val="009C5221"/>
    <w:rsid w:val="009C6983"/>
    <w:rsid w:val="009D2416"/>
    <w:rsid w:val="009E13D8"/>
    <w:rsid w:val="009F4CB3"/>
    <w:rsid w:val="00A015F2"/>
    <w:rsid w:val="00A12EE3"/>
    <w:rsid w:val="00A27326"/>
    <w:rsid w:val="00A329AC"/>
    <w:rsid w:val="00A4385A"/>
    <w:rsid w:val="00A44DA3"/>
    <w:rsid w:val="00A51CF8"/>
    <w:rsid w:val="00A536ED"/>
    <w:rsid w:val="00A64B85"/>
    <w:rsid w:val="00A71D8B"/>
    <w:rsid w:val="00A7539E"/>
    <w:rsid w:val="00A85627"/>
    <w:rsid w:val="00A93535"/>
    <w:rsid w:val="00A93F89"/>
    <w:rsid w:val="00A94781"/>
    <w:rsid w:val="00AB16CA"/>
    <w:rsid w:val="00AD0280"/>
    <w:rsid w:val="00AD1819"/>
    <w:rsid w:val="00AD2702"/>
    <w:rsid w:val="00AE047C"/>
    <w:rsid w:val="00AE7135"/>
    <w:rsid w:val="00B16849"/>
    <w:rsid w:val="00B178F6"/>
    <w:rsid w:val="00B264D8"/>
    <w:rsid w:val="00B36564"/>
    <w:rsid w:val="00B40E03"/>
    <w:rsid w:val="00B40E40"/>
    <w:rsid w:val="00B41B2C"/>
    <w:rsid w:val="00B444F1"/>
    <w:rsid w:val="00B71E78"/>
    <w:rsid w:val="00BA63E5"/>
    <w:rsid w:val="00BB7217"/>
    <w:rsid w:val="00BC6794"/>
    <w:rsid w:val="00BD1085"/>
    <w:rsid w:val="00BE34AA"/>
    <w:rsid w:val="00C071B7"/>
    <w:rsid w:val="00C260D5"/>
    <w:rsid w:val="00C55E95"/>
    <w:rsid w:val="00C612F6"/>
    <w:rsid w:val="00C66018"/>
    <w:rsid w:val="00C77047"/>
    <w:rsid w:val="00C94B47"/>
    <w:rsid w:val="00C9798C"/>
    <w:rsid w:val="00CA73D2"/>
    <w:rsid w:val="00CB43E6"/>
    <w:rsid w:val="00CC1910"/>
    <w:rsid w:val="00CC6A63"/>
    <w:rsid w:val="00CD1CF2"/>
    <w:rsid w:val="00CD1EFD"/>
    <w:rsid w:val="00CD3183"/>
    <w:rsid w:val="00CD5D18"/>
    <w:rsid w:val="00CE17CB"/>
    <w:rsid w:val="00CF52E3"/>
    <w:rsid w:val="00D02254"/>
    <w:rsid w:val="00D16F0C"/>
    <w:rsid w:val="00D17F66"/>
    <w:rsid w:val="00D25550"/>
    <w:rsid w:val="00D329A2"/>
    <w:rsid w:val="00D3486C"/>
    <w:rsid w:val="00D475BE"/>
    <w:rsid w:val="00D524A5"/>
    <w:rsid w:val="00D72332"/>
    <w:rsid w:val="00D739D9"/>
    <w:rsid w:val="00DB0545"/>
    <w:rsid w:val="00DB4925"/>
    <w:rsid w:val="00DC3781"/>
    <w:rsid w:val="00DD25A5"/>
    <w:rsid w:val="00DD3BBF"/>
    <w:rsid w:val="00DE03BE"/>
    <w:rsid w:val="00DF7C33"/>
    <w:rsid w:val="00E121C3"/>
    <w:rsid w:val="00E217EE"/>
    <w:rsid w:val="00E27CDE"/>
    <w:rsid w:val="00E36F83"/>
    <w:rsid w:val="00E5237F"/>
    <w:rsid w:val="00E90122"/>
    <w:rsid w:val="00E91B3E"/>
    <w:rsid w:val="00EC3A0C"/>
    <w:rsid w:val="00EC4056"/>
    <w:rsid w:val="00EE2CA3"/>
    <w:rsid w:val="00EF083C"/>
    <w:rsid w:val="00F24481"/>
    <w:rsid w:val="00F24C65"/>
    <w:rsid w:val="00F4422A"/>
    <w:rsid w:val="00F55E69"/>
    <w:rsid w:val="00F62093"/>
    <w:rsid w:val="00F62999"/>
    <w:rsid w:val="00F67CEC"/>
    <w:rsid w:val="00F841FC"/>
    <w:rsid w:val="00F93CDB"/>
    <w:rsid w:val="00FA147C"/>
    <w:rsid w:val="00FA679E"/>
    <w:rsid w:val="00FB6073"/>
    <w:rsid w:val="00FD119D"/>
    <w:rsid w:val="00FD1944"/>
    <w:rsid w:val="00FD7CBC"/>
    <w:rsid w:val="00FE1889"/>
    <w:rsid w:val="00FE2CDF"/>
    <w:rsid w:val="00FE6DC3"/>
    <w:rsid w:val="00FF04BE"/>
    <w:rsid w:val="00FF699C"/>
    <w:rsid w:val="00FF771E"/>
    <w:rsid w:val="00FF7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11B8B"/>
  <w15:chartTrackingRefBased/>
  <w15:docId w15:val="{154082C9-DF0B-468F-92BF-217F4F53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C33"/>
    <w:pPr>
      <w:spacing w:after="0" w:line="240" w:lineRule="auto"/>
    </w:pPr>
    <w:rPr>
      <w:rFonts w:ascii="Times New Roman" w:hAnsi="Times New Roman" w:cs="Times New Roman"/>
      <w:sz w:val="24"/>
      <w:szCs w:val="24"/>
      <w:lang w:val="sr-Cyrl-RS"/>
    </w:rPr>
  </w:style>
  <w:style w:type="paragraph" w:styleId="Heading1">
    <w:name w:val="heading 1"/>
    <w:basedOn w:val="Normal"/>
    <w:next w:val="Normal"/>
    <w:link w:val="Heading1Char"/>
    <w:uiPriority w:val="9"/>
    <w:qFormat/>
    <w:rsid w:val="00A44DA3"/>
    <w:pPr>
      <w:keepNext/>
      <w:keepLines/>
      <w:pageBreakBefore/>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A4EB2"/>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6D41"/>
    <w:pPr>
      <w:keepNext/>
      <w:keepLines/>
      <w:spacing w:before="40" w:line="259" w:lineRule="auto"/>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B607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0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6073"/>
    <w:pPr>
      <w:numPr>
        <w:ilvl w:val="1"/>
      </w:numPr>
      <w:spacing w:after="160" w:line="259"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B6073"/>
    <w:rPr>
      <w:rFonts w:eastAsiaTheme="minorEastAsia"/>
      <w:color w:val="5A5A5A" w:themeColor="text1" w:themeTint="A5"/>
      <w:spacing w:val="15"/>
    </w:rPr>
  </w:style>
  <w:style w:type="table" w:styleId="TableGrid">
    <w:name w:val="Table Grid"/>
    <w:basedOn w:val="TableNormal"/>
    <w:uiPriority w:val="59"/>
    <w:rsid w:val="006E2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0237"/>
    <w:pPr>
      <w:numPr>
        <w:numId w:val="6"/>
      </w:numPr>
      <w:spacing w:after="160" w:line="259" w:lineRule="auto"/>
      <w:contextualSpacing/>
    </w:pPr>
  </w:style>
  <w:style w:type="paragraph" w:styleId="NoSpacing">
    <w:name w:val="No Spacing"/>
    <w:link w:val="NoSpacingChar"/>
    <w:uiPriority w:val="1"/>
    <w:qFormat/>
    <w:rsid w:val="00DD3BBF"/>
    <w:pPr>
      <w:spacing w:after="0" w:line="240" w:lineRule="auto"/>
    </w:pPr>
    <w:rPr>
      <w:rFonts w:eastAsiaTheme="minorEastAsia"/>
    </w:rPr>
  </w:style>
  <w:style w:type="character" w:customStyle="1" w:styleId="NoSpacingChar">
    <w:name w:val="No Spacing Char"/>
    <w:basedOn w:val="DefaultParagraphFont"/>
    <w:link w:val="NoSpacing"/>
    <w:uiPriority w:val="1"/>
    <w:rsid w:val="00DD3BBF"/>
    <w:rPr>
      <w:rFonts w:eastAsiaTheme="minorEastAsia"/>
    </w:rPr>
  </w:style>
  <w:style w:type="character" w:customStyle="1" w:styleId="Heading1Char">
    <w:name w:val="Heading 1 Char"/>
    <w:basedOn w:val="DefaultParagraphFont"/>
    <w:link w:val="Heading1"/>
    <w:uiPriority w:val="9"/>
    <w:rsid w:val="00A44DA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A4EB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C6D41"/>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DefaultParagraphFont"/>
    <w:rsid w:val="002712FF"/>
  </w:style>
  <w:style w:type="character" w:styleId="Strong">
    <w:name w:val="Strong"/>
    <w:basedOn w:val="DefaultParagraphFont"/>
    <w:uiPriority w:val="22"/>
    <w:qFormat/>
    <w:rsid w:val="002712FF"/>
    <w:rPr>
      <w:b/>
      <w:bCs/>
    </w:rPr>
  </w:style>
  <w:style w:type="character" w:styleId="Hyperlink">
    <w:name w:val="Hyperlink"/>
    <w:basedOn w:val="DefaultParagraphFont"/>
    <w:uiPriority w:val="99"/>
    <w:unhideWhenUsed/>
    <w:rsid w:val="00C94B47"/>
    <w:rPr>
      <w:color w:val="0563C1" w:themeColor="hyperlink"/>
      <w:u w:val="single"/>
    </w:rPr>
  </w:style>
  <w:style w:type="paragraph" w:styleId="FootnoteText">
    <w:name w:val="footnote text"/>
    <w:basedOn w:val="Normal"/>
    <w:link w:val="FootnoteTextChar"/>
    <w:uiPriority w:val="99"/>
    <w:unhideWhenUsed/>
    <w:rsid w:val="00556636"/>
    <w:rPr>
      <w:sz w:val="20"/>
      <w:szCs w:val="20"/>
    </w:rPr>
  </w:style>
  <w:style w:type="character" w:customStyle="1" w:styleId="FootnoteTextChar">
    <w:name w:val="Footnote Text Char"/>
    <w:basedOn w:val="DefaultParagraphFont"/>
    <w:link w:val="FootnoteText"/>
    <w:uiPriority w:val="99"/>
    <w:rsid w:val="00556636"/>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556636"/>
    <w:rPr>
      <w:vertAlign w:val="superscript"/>
    </w:rPr>
  </w:style>
  <w:style w:type="paragraph" w:styleId="Bibliography">
    <w:name w:val="Bibliography"/>
    <w:basedOn w:val="Normal"/>
    <w:next w:val="Normal"/>
    <w:uiPriority w:val="37"/>
    <w:unhideWhenUsed/>
    <w:rsid w:val="00556636"/>
    <w:pPr>
      <w:ind w:left="720" w:hanging="720"/>
    </w:pPr>
  </w:style>
  <w:style w:type="paragraph" w:styleId="TOCHeading">
    <w:name w:val="TOC Heading"/>
    <w:basedOn w:val="Heading1"/>
    <w:next w:val="Normal"/>
    <w:uiPriority w:val="39"/>
    <w:unhideWhenUsed/>
    <w:qFormat/>
    <w:rsid w:val="003C2F85"/>
    <w:pPr>
      <w:outlineLvl w:val="9"/>
    </w:pPr>
  </w:style>
  <w:style w:type="paragraph" w:styleId="TOC1">
    <w:name w:val="toc 1"/>
    <w:basedOn w:val="Normal"/>
    <w:next w:val="Normal"/>
    <w:autoRedefine/>
    <w:uiPriority w:val="39"/>
    <w:unhideWhenUsed/>
    <w:rsid w:val="003C2F85"/>
    <w:pPr>
      <w:spacing w:after="100"/>
    </w:pPr>
  </w:style>
  <w:style w:type="paragraph" w:styleId="TOC2">
    <w:name w:val="toc 2"/>
    <w:basedOn w:val="Normal"/>
    <w:next w:val="Normal"/>
    <w:autoRedefine/>
    <w:uiPriority w:val="39"/>
    <w:unhideWhenUsed/>
    <w:rsid w:val="003C2F85"/>
    <w:pPr>
      <w:spacing w:after="100"/>
      <w:ind w:left="240"/>
    </w:pPr>
  </w:style>
  <w:style w:type="paragraph" w:styleId="TOC3">
    <w:name w:val="toc 3"/>
    <w:basedOn w:val="Normal"/>
    <w:next w:val="Normal"/>
    <w:autoRedefine/>
    <w:uiPriority w:val="39"/>
    <w:unhideWhenUsed/>
    <w:rsid w:val="003C2F85"/>
    <w:pPr>
      <w:spacing w:after="100"/>
      <w:ind w:left="480"/>
    </w:pPr>
  </w:style>
  <w:style w:type="paragraph" w:styleId="Header">
    <w:name w:val="header"/>
    <w:basedOn w:val="Normal"/>
    <w:link w:val="HeaderChar"/>
    <w:uiPriority w:val="99"/>
    <w:unhideWhenUsed/>
    <w:rsid w:val="00A44DA3"/>
    <w:pPr>
      <w:tabs>
        <w:tab w:val="center" w:pos="4536"/>
        <w:tab w:val="right" w:pos="9072"/>
      </w:tabs>
    </w:pPr>
  </w:style>
  <w:style w:type="character" w:customStyle="1" w:styleId="HeaderChar">
    <w:name w:val="Header Char"/>
    <w:basedOn w:val="DefaultParagraphFont"/>
    <w:link w:val="Header"/>
    <w:uiPriority w:val="99"/>
    <w:rsid w:val="00A44DA3"/>
    <w:rPr>
      <w:rFonts w:ascii="Times New Roman" w:hAnsi="Times New Roman" w:cs="Times New Roman"/>
      <w:sz w:val="24"/>
      <w:szCs w:val="24"/>
    </w:rPr>
  </w:style>
  <w:style w:type="paragraph" w:styleId="Footer">
    <w:name w:val="footer"/>
    <w:basedOn w:val="Normal"/>
    <w:link w:val="FooterChar"/>
    <w:uiPriority w:val="99"/>
    <w:unhideWhenUsed/>
    <w:rsid w:val="00A44DA3"/>
    <w:pPr>
      <w:tabs>
        <w:tab w:val="center" w:pos="4536"/>
        <w:tab w:val="right" w:pos="9072"/>
      </w:tabs>
    </w:pPr>
  </w:style>
  <w:style w:type="character" w:customStyle="1" w:styleId="FooterChar">
    <w:name w:val="Footer Char"/>
    <w:basedOn w:val="DefaultParagraphFont"/>
    <w:link w:val="Footer"/>
    <w:uiPriority w:val="99"/>
    <w:rsid w:val="00A44DA3"/>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C3A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A0C"/>
    <w:rPr>
      <w:rFonts w:ascii="Segoe UI" w:hAnsi="Segoe UI" w:cs="Segoe UI"/>
      <w:sz w:val="18"/>
      <w:szCs w:val="18"/>
    </w:rPr>
  </w:style>
  <w:style w:type="paragraph" w:styleId="EndnoteText">
    <w:name w:val="endnote text"/>
    <w:basedOn w:val="Normal"/>
    <w:link w:val="EndnoteTextChar"/>
    <w:uiPriority w:val="99"/>
    <w:semiHidden/>
    <w:unhideWhenUsed/>
    <w:rsid w:val="00D17F66"/>
    <w:rPr>
      <w:sz w:val="20"/>
      <w:szCs w:val="20"/>
    </w:rPr>
  </w:style>
  <w:style w:type="character" w:customStyle="1" w:styleId="EndnoteTextChar">
    <w:name w:val="Endnote Text Char"/>
    <w:basedOn w:val="DefaultParagraphFont"/>
    <w:link w:val="EndnoteText"/>
    <w:uiPriority w:val="99"/>
    <w:semiHidden/>
    <w:rsid w:val="00D17F66"/>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D17F66"/>
    <w:rPr>
      <w:vertAlign w:val="superscript"/>
    </w:rPr>
  </w:style>
  <w:style w:type="paragraph" w:customStyle="1" w:styleId="Tekst">
    <w:name w:val="Tekst"/>
    <w:basedOn w:val="Normal"/>
    <w:qFormat/>
    <w:rsid w:val="00AB16CA"/>
    <w:pPr>
      <w:spacing w:after="120" w:line="288" w:lineRule="auto"/>
      <w:ind w:firstLine="680"/>
      <w:jc w:val="both"/>
    </w:pPr>
  </w:style>
  <w:style w:type="character" w:styleId="CommentReference">
    <w:name w:val="annotation reference"/>
    <w:basedOn w:val="DefaultParagraphFont"/>
    <w:uiPriority w:val="99"/>
    <w:semiHidden/>
    <w:unhideWhenUsed/>
    <w:rsid w:val="002C75EE"/>
    <w:rPr>
      <w:sz w:val="16"/>
      <w:szCs w:val="16"/>
    </w:rPr>
  </w:style>
  <w:style w:type="paragraph" w:styleId="CommentText">
    <w:name w:val="annotation text"/>
    <w:basedOn w:val="Normal"/>
    <w:link w:val="CommentTextChar"/>
    <w:uiPriority w:val="99"/>
    <w:semiHidden/>
    <w:unhideWhenUsed/>
    <w:rsid w:val="002C75EE"/>
    <w:rPr>
      <w:sz w:val="20"/>
      <w:szCs w:val="20"/>
    </w:rPr>
  </w:style>
  <w:style w:type="character" w:customStyle="1" w:styleId="CommentTextChar">
    <w:name w:val="Comment Text Char"/>
    <w:basedOn w:val="DefaultParagraphFont"/>
    <w:link w:val="CommentText"/>
    <w:uiPriority w:val="99"/>
    <w:semiHidden/>
    <w:rsid w:val="002C75EE"/>
    <w:rPr>
      <w:rFonts w:ascii="Times New Roman" w:hAnsi="Times New Roman" w:cs="Times New Roman"/>
      <w:sz w:val="20"/>
      <w:szCs w:val="20"/>
      <w:lang w:val="sr-Cyrl-RS"/>
    </w:rPr>
  </w:style>
  <w:style w:type="paragraph" w:styleId="CommentSubject">
    <w:name w:val="annotation subject"/>
    <w:basedOn w:val="CommentText"/>
    <w:next w:val="CommentText"/>
    <w:link w:val="CommentSubjectChar"/>
    <w:uiPriority w:val="99"/>
    <w:semiHidden/>
    <w:unhideWhenUsed/>
    <w:rsid w:val="002C75EE"/>
    <w:rPr>
      <w:b/>
      <w:bCs/>
    </w:rPr>
  </w:style>
  <w:style w:type="character" w:customStyle="1" w:styleId="CommentSubjectChar">
    <w:name w:val="Comment Subject Char"/>
    <w:basedOn w:val="CommentTextChar"/>
    <w:link w:val="CommentSubject"/>
    <w:uiPriority w:val="99"/>
    <w:semiHidden/>
    <w:rsid w:val="002C75EE"/>
    <w:rPr>
      <w:rFonts w:ascii="Times New Roman" w:hAnsi="Times New Roman" w:cs="Times New Roman"/>
      <w:b/>
      <w:bCs/>
      <w:sz w:val="20"/>
      <w:szCs w:val="20"/>
      <w:lang w:val="sr-Cyrl-RS"/>
    </w:rPr>
  </w:style>
  <w:style w:type="paragraph" w:styleId="Caption">
    <w:name w:val="caption"/>
    <w:basedOn w:val="Normal"/>
    <w:next w:val="Normal"/>
    <w:uiPriority w:val="35"/>
    <w:unhideWhenUsed/>
    <w:qFormat/>
    <w:rsid w:val="00A51CF8"/>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44579">
      <w:bodyDiv w:val="1"/>
      <w:marLeft w:val="0"/>
      <w:marRight w:val="0"/>
      <w:marTop w:val="0"/>
      <w:marBottom w:val="0"/>
      <w:divBdr>
        <w:top w:val="none" w:sz="0" w:space="0" w:color="auto"/>
        <w:left w:val="none" w:sz="0" w:space="0" w:color="auto"/>
        <w:bottom w:val="none" w:sz="0" w:space="0" w:color="auto"/>
        <w:right w:val="none" w:sz="0" w:space="0" w:color="auto"/>
      </w:divBdr>
    </w:div>
    <w:div w:id="73162750">
      <w:bodyDiv w:val="1"/>
      <w:marLeft w:val="0"/>
      <w:marRight w:val="0"/>
      <w:marTop w:val="0"/>
      <w:marBottom w:val="0"/>
      <w:divBdr>
        <w:top w:val="none" w:sz="0" w:space="0" w:color="auto"/>
        <w:left w:val="none" w:sz="0" w:space="0" w:color="auto"/>
        <w:bottom w:val="none" w:sz="0" w:space="0" w:color="auto"/>
        <w:right w:val="none" w:sz="0" w:space="0" w:color="auto"/>
      </w:divBdr>
    </w:div>
    <w:div w:id="161360332">
      <w:bodyDiv w:val="1"/>
      <w:marLeft w:val="0"/>
      <w:marRight w:val="0"/>
      <w:marTop w:val="0"/>
      <w:marBottom w:val="0"/>
      <w:divBdr>
        <w:top w:val="none" w:sz="0" w:space="0" w:color="auto"/>
        <w:left w:val="none" w:sz="0" w:space="0" w:color="auto"/>
        <w:bottom w:val="none" w:sz="0" w:space="0" w:color="auto"/>
        <w:right w:val="none" w:sz="0" w:space="0" w:color="auto"/>
      </w:divBdr>
    </w:div>
    <w:div w:id="387729996">
      <w:bodyDiv w:val="1"/>
      <w:marLeft w:val="0"/>
      <w:marRight w:val="0"/>
      <w:marTop w:val="0"/>
      <w:marBottom w:val="0"/>
      <w:divBdr>
        <w:top w:val="none" w:sz="0" w:space="0" w:color="auto"/>
        <w:left w:val="none" w:sz="0" w:space="0" w:color="auto"/>
        <w:bottom w:val="none" w:sz="0" w:space="0" w:color="auto"/>
        <w:right w:val="none" w:sz="0" w:space="0" w:color="auto"/>
      </w:divBdr>
    </w:div>
    <w:div w:id="578710474">
      <w:bodyDiv w:val="1"/>
      <w:marLeft w:val="0"/>
      <w:marRight w:val="0"/>
      <w:marTop w:val="0"/>
      <w:marBottom w:val="0"/>
      <w:divBdr>
        <w:top w:val="none" w:sz="0" w:space="0" w:color="auto"/>
        <w:left w:val="none" w:sz="0" w:space="0" w:color="auto"/>
        <w:bottom w:val="none" w:sz="0" w:space="0" w:color="auto"/>
        <w:right w:val="none" w:sz="0" w:space="0" w:color="auto"/>
      </w:divBdr>
    </w:div>
    <w:div w:id="626278816">
      <w:bodyDiv w:val="1"/>
      <w:marLeft w:val="0"/>
      <w:marRight w:val="0"/>
      <w:marTop w:val="0"/>
      <w:marBottom w:val="0"/>
      <w:divBdr>
        <w:top w:val="none" w:sz="0" w:space="0" w:color="auto"/>
        <w:left w:val="none" w:sz="0" w:space="0" w:color="auto"/>
        <w:bottom w:val="none" w:sz="0" w:space="0" w:color="auto"/>
        <w:right w:val="none" w:sz="0" w:space="0" w:color="auto"/>
      </w:divBdr>
    </w:div>
    <w:div w:id="1023630577">
      <w:bodyDiv w:val="1"/>
      <w:marLeft w:val="0"/>
      <w:marRight w:val="0"/>
      <w:marTop w:val="0"/>
      <w:marBottom w:val="0"/>
      <w:divBdr>
        <w:top w:val="none" w:sz="0" w:space="0" w:color="auto"/>
        <w:left w:val="none" w:sz="0" w:space="0" w:color="auto"/>
        <w:bottom w:val="none" w:sz="0" w:space="0" w:color="auto"/>
        <w:right w:val="none" w:sz="0" w:space="0" w:color="auto"/>
      </w:divBdr>
    </w:div>
    <w:div w:id="1027222704">
      <w:bodyDiv w:val="1"/>
      <w:marLeft w:val="0"/>
      <w:marRight w:val="0"/>
      <w:marTop w:val="0"/>
      <w:marBottom w:val="0"/>
      <w:divBdr>
        <w:top w:val="none" w:sz="0" w:space="0" w:color="auto"/>
        <w:left w:val="none" w:sz="0" w:space="0" w:color="auto"/>
        <w:bottom w:val="none" w:sz="0" w:space="0" w:color="auto"/>
        <w:right w:val="none" w:sz="0" w:space="0" w:color="auto"/>
      </w:divBdr>
    </w:div>
    <w:div w:id="1070542228">
      <w:bodyDiv w:val="1"/>
      <w:marLeft w:val="0"/>
      <w:marRight w:val="0"/>
      <w:marTop w:val="0"/>
      <w:marBottom w:val="0"/>
      <w:divBdr>
        <w:top w:val="none" w:sz="0" w:space="0" w:color="auto"/>
        <w:left w:val="none" w:sz="0" w:space="0" w:color="auto"/>
        <w:bottom w:val="none" w:sz="0" w:space="0" w:color="auto"/>
        <w:right w:val="none" w:sz="0" w:space="0" w:color="auto"/>
      </w:divBdr>
    </w:div>
    <w:div w:id="1202330405">
      <w:bodyDiv w:val="1"/>
      <w:marLeft w:val="0"/>
      <w:marRight w:val="0"/>
      <w:marTop w:val="0"/>
      <w:marBottom w:val="0"/>
      <w:divBdr>
        <w:top w:val="none" w:sz="0" w:space="0" w:color="auto"/>
        <w:left w:val="none" w:sz="0" w:space="0" w:color="auto"/>
        <w:bottom w:val="none" w:sz="0" w:space="0" w:color="auto"/>
        <w:right w:val="none" w:sz="0" w:space="0" w:color="auto"/>
      </w:divBdr>
    </w:div>
    <w:div w:id="1333214823">
      <w:bodyDiv w:val="1"/>
      <w:marLeft w:val="0"/>
      <w:marRight w:val="0"/>
      <w:marTop w:val="0"/>
      <w:marBottom w:val="0"/>
      <w:divBdr>
        <w:top w:val="none" w:sz="0" w:space="0" w:color="auto"/>
        <w:left w:val="none" w:sz="0" w:space="0" w:color="auto"/>
        <w:bottom w:val="none" w:sz="0" w:space="0" w:color="auto"/>
        <w:right w:val="none" w:sz="0" w:space="0" w:color="auto"/>
      </w:divBdr>
    </w:div>
    <w:div w:id="1418942913">
      <w:bodyDiv w:val="1"/>
      <w:marLeft w:val="0"/>
      <w:marRight w:val="0"/>
      <w:marTop w:val="0"/>
      <w:marBottom w:val="0"/>
      <w:divBdr>
        <w:top w:val="none" w:sz="0" w:space="0" w:color="auto"/>
        <w:left w:val="none" w:sz="0" w:space="0" w:color="auto"/>
        <w:bottom w:val="none" w:sz="0" w:space="0" w:color="auto"/>
        <w:right w:val="none" w:sz="0" w:space="0" w:color="auto"/>
      </w:divBdr>
    </w:div>
    <w:div w:id="1439791230">
      <w:bodyDiv w:val="1"/>
      <w:marLeft w:val="0"/>
      <w:marRight w:val="0"/>
      <w:marTop w:val="0"/>
      <w:marBottom w:val="0"/>
      <w:divBdr>
        <w:top w:val="none" w:sz="0" w:space="0" w:color="auto"/>
        <w:left w:val="none" w:sz="0" w:space="0" w:color="auto"/>
        <w:bottom w:val="none" w:sz="0" w:space="0" w:color="auto"/>
        <w:right w:val="none" w:sz="0" w:space="0" w:color="auto"/>
      </w:divBdr>
    </w:div>
    <w:div w:id="1868248665">
      <w:bodyDiv w:val="1"/>
      <w:marLeft w:val="0"/>
      <w:marRight w:val="0"/>
      <w:marTop w:val="0"/>
      <w:marBottom w:val="0"/>
      <w:divBdr>
        <w:top w:val="none" w:sz="0" w:space="0" w:color="auto"/>
        <w:left w:val="none" w:sz="0" w:space="0" w:color="auto"/>
        <w:bottom w:val="none" w:sz="0" w:space="0" w:color="auto"/>
        <w:right w:val="none" w:sz="0" w:space="0" w:color="auto"/>
      </w:divBdr>
    </w:div>
    <w:div w:id="1896161399">
      <w:bodyDiv w:val="1"/>
      <w:marLeft w:val="0"/>
      <w:marRight w:val="0"/>
      <w:marTop w:val="0"/>
      <w:marBottom w:val="0"/>
      <w:divBdr>
        <w:top w:val="none" w:sz="0" w:space="0" w:color="auto"/>
        <w:left w:val="none" w:sz="0" w:space="0" w:color="auto"/>
        <w:bottom w:val="none" w:sz="0" w:space="0" w:color="auto"/>
        <w:right w:val="none" w:sz="0" w:space="0" w:color="auto"/>
      </w:divBdr>
    </w:div>
    <w:div w:id="2002809826">
      <w:bodyDiv w:val="1"/>
      <w:marLeft w:val="0"/>
      <w:marRight w:val="0"/>
      <w:marTop w:val="0"/>
      <w:marBottom w:val="0"/>
      <w:divBdr>
        <w:top w:val="none" w:sz="0" w:space="0" w:color="auto"/>
        <w:left w:val="none" w:sz="0" w:space="0" w:color="auto"/>
        <w:bottom w:val="none" w:sz="0" w:space="0" w:color="auto"/>
        <w:right w:val="none" w:sz="0" w:space="0" w:color="auto"/>
      </w:divBdr>
    </w:div>
    <w:div w:id="2060011569">
      <w:bodyDiv w:val="1"/>
      <w:marLeft w:val="0"/>
      <w:marRight w:val="0"/>
      <w:marTop w:val="0"/>
      <w:marBottom w:val="0"/>
      <w:divBdr>
        <w:top w:val="none" w:sz="0" w:space="0" w:color="auto"/>
        <w:left w:val="none" w:sz="0" w:space="0" w:color="auto"/>
        <w:bottom w:val="none" w:sz="0" w:space="0" w:color="auto"/>
        <w:right w:val="none" w:sz="0" w:space="0" w:color="auto"/>
      </w:divBdr>
    </w:div>
    <w:div w:id="2099399520">
      <w:bodyDiv w:val="1"/>
      <w:marLeft w:val="0"/>
      <w:marRight w:val="0"/>
      <w:marTop w:val="0"/>
      <w:marBottom w:val="0"/>
      <w:divBdr>
        <w:top w:val="none" w:sz="0" w:space="0" w:color="auto"/>
        <w:left w:val="none" w:sz="0" w:space="0" w:color="auto"/>
        <w:bottom w:val="none" w:sz="0" w:space="0" w:color="auto"/>
        <w:right w:val="none" w:sz="0" w:space="0" w:color="auto"/>
      </w:divBdr>
      <w:divsChild>
        <w:div w:id="1781610628">
          <w:marLeft w:val="0"/>
          <w:marRight w:val="0"/>
          <w:marTop w:val="0"/>
          <w:marBottom w:val="0"/>
          <w:divBdr>
            <w:top w:val="none" w:sz="0" w:space="0" w:color="auto"/>
            <w:left w:val="none" w:sz="0" w:space="0" w:color="auto"/>
            <w:bottom w:val="none" w:sz="0" w:space="0" w:color="auto"/>
            <w:right w:val="none" w:sz="0" w:space="0" w:color="auto"/>
          </w:divBdr>
        </w:div>
        <w:div w:id="778061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080;&#1085;&#1089;&#1087;&#1077;&#1082;&#1094;&#1080;&#1112;&#1072;.&#1091;&#1087;&#1088;.&#1089;&#1088;&#1073;/"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inspekcija.gov.rs/" TargetMode="External"/><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hyperlink" Target="mailto:info@inspekcija.gov.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80;&#1085;&#1089;&#1087;&#1077;&#1082;&#1094;&#1080;&#1112;&#1072;/&#1084;&#1080;&#1085;&#1080;&#1089;&#1090;&#1072;&#1088;&#1089;&#1090;&#1074;&#1086;.&#1091;&#1087;&#1088;.&#1089;&#1088;&#1073;/" TargetMode="External"/><Relationship Id="rId5" Type="http://schemas.openxmlformats.org/officeDocument/2006/relationships/settings" Target="settings.xml"/><Relationship Id="rId15" Type="http://schemas.openxmlformats.org/officeDocument/2006/relationships/hyperlink" Target="mailto:office@inspekcija.gov.rs" TargetMode="External"/><Relationship Id="rId10" Type="http://schemas.openxmlformats.org/officeDocument/2006/relationships/hyperlink" Target="http://inspekcija/ministarstvo.gov.r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ca\Dropbox\Projekti\Inspekcije%20MDULS\Output\Analiza%20zbirn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33472603853457"/>
          <c:y val="3.508770852704992E-2"/>
          <c:w val="0.8781645918482649"/>
          <c:h val="0.56183157224553049"/>
        </c:manualLayout>
      </c:layout>
      <c:barChart>
        <c:barDir val="col"/>
        <c:grouping val="clustered"/>
        <c:varyColors val="0"/>
        <c:ser>
          <c:idx val="0"/>
          <c:order val="0"/>
          <c:tx>
            <c:strRef>
              <c:f>AnalizaIns!$B$1</c:f>
              <c:strCache>
                <c:ptCount val="1"/>
                <c:pt idx="0">
                  <c:v>Рад</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strRef>
              <c:f>AnalizaIns!$A$2:$A$10</c:f>
              <c:strCache>
                <c:ptCount val="9"/>
                <c:pt idx="0">
                  <c:v>Основни елементи</c:v>
                </c:pt>
                <c:pt idx="1">
                  <c:v>О нама</c:v>
                </c:pt>
                <c:pt idx="2">
                  <c:v>Прописи</c:v>
                </c:pt>
                <c:pt idx="3">
                  <c:v>Планови рада</c:v>
                </c:pt>
                <c:pt idx="4">
                  <c:v>Контролне листе</c:v>
                </c:pt>
                <c:pt idx="5">
                  <c:v>Извештаји</c:v>
                </c:pt>
                <c:pt idx="6">
                  <c:v>Захтеви</c:v>
                </c:pt>
                <c:pt idx="7">
                  <c:v>Kомуникација</c:v>
                </c:pt>
                <c:pt idx="8">
                  <c:v>Технички захтеви</c:v>
                </c:pt>
              </c:strCache>
            </c:strRef>
          </c:cat>
          <c:val>
            <c:numRef>
              <c:f>AnalizaIns!$B$2:$B$10</c:f>
              <c:numCache>
                <c:formatCode>0%</c:formatCode>
                <c:ptCount val="9"/>
                <c:pt idx="0">
                  <c:v>1</c:v>
                </c:pt>
                <c:pt idx="1">
                  <c:v>1</c:v>
                </c:pt>
                <c:pt idx="2">
                  <c:v>0.5</c:v>
                </c:pt>
                <c:pt idx="3">
                  <c:v>0</c:v>
                </c:pt>
                <c:pt idx="4">
                  <c:v>0.5714285714285714</c:v>
                </c:pt>
                <c:pt idx="5">
                  <c:v>0.2857142857142857</c:v>
                </c:pt>
                <c:pt idx="6">
                  <c:v>0.625</c:v>
                </c:pt>
                <c:pt idx="7">
                  <c:v>0.5714285714285714</c:v>
                </c:pt>
                <c:pt idx="8">
                  <c:v>0.83333333333333337</c:v>
                </c:pt>
              </c:numCache>
            </c:numRef>
          </c:val>
        </c:ser>
        <c:ser>
          <c:idx val="1"/>
          <c:order val="1"/>
          <c:tx>
            <c:strRef>
              <c:f>AnalizaIns!$C$1</c:f>
              <c:strCache>
                <c:ptCount val="1"/>
                <c:pt idx="0">
                  <c:v>Туристичка</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cat>
            <c:strRef>
              <c:f>AnalizaIns!$A$2:$A$10</c:f>
              <c:strCache>
                <c:ptCount val="9"/>
                <c:pt idx="0">
                  <c:v>Основни елементи</c:v>
                </c:pt>
                <c:pt idx="1">
                  <c:v>О нама</c:v>
                </c:pt>
                <c:pt idx="2">
                  <c:v>Прописи</c:v>
                </c:pt>
                <c:pt idx="3">
                  <c:v>Планови рада</c:v>
                </c:pt>
                <c:pt idx="4">
                  <c:v>Контролне листе</c:v>
                </c:pt>
                <c:pt idx="5">
                  <c:v>Извештаји</c:v>
                </c:pt>
                <c:pt idx="6">
                  <c:v>Захтеви</c:v>
                </c:pt>
                <c:pt idx="7">
                  <c:v>Kомуникација</c:v>
                </c:pt>
                <c:pt idx="8">
                  <c:v>Технички захтеви</c:v>
                </c:pt>
              </c:strCache>
            </c:strRef>
          </c:cat>
          <c:val>
            <c:numRef>
              <c:f>AnalizaIns!$C$2:$C$10</c:f>
              <c:numCache>
                <c:formatCode>0%</c:formatCode>
                <c:ptCount val="9"/>
                <c:pt idx="0">
                  <c:v>0.33333333333333331</c:v>
                </c:pt>
                <c:pt idx="1">
                  <c:v>1</c:v>
                </c:pt>
                <c:pt idx="2">
                  <c:v>0.5714285714285714</c:v>
                </c:pt>
                <c:pt idx="3">
                  <c:v>0</c:v>
                </c:pt>
                <c:pt idx="4">
                  <c:v>0.5714285714285714</c:v>
                </c:pt>
                <c:pt idx="5">
                  <c:v>0.42857142857142855</c:v>
                </c:pt>
                <c:pt idx="6">
                  <c:v>0.75</c:v>
                </c:pt>
                <c:pt idx="7">
                  <c:v>0.14285714285714285</c:v>
                </c:pt>
                <c:pt idx="8">
                  <c:v>0.66666666666666663</c:v>
                </c:pt>
              </c:numCache>
            </c:numRef>
          </c:val>
        </c:ser>
        <c:ser>
          <c:idx val="2"/>
          <c:order val="2"/>
          <c:tx>
            <c:strRef>
              <c:f>AnalizaIns!$D$1</c:f>
              <c:strCache>
                <c:ptCount val="1"/>
                <c:pt idx="0">
                  <c:v>Тржишна</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cat>
            <c:strRef>
              <c:f>AnalizaIns!$A$2:$A$10</c:f>
              <c:strCache>
                <c:ptCount val="9"/>
                <c:pt idx="0">
                  <c:v>Основни елементи</c:v>
                </c:pt>
                <c:pt idx="1">
                  <c:v>О нама</c:v>
                </c:pt>
                <c:pt idx="2">
                  <c:v>Прописи</c:v>
                </c:pt>
                <c:pt idx="3">
                  <c:v>Планови рада</c:v>
                </c:pt>
                <c:pt idx="4">
                  <c:v>Контролне листе</c:v>
                </c:pt>
                <c:pt idx="5">
                  <c:v>Извештаји</c:v>
                </c:pt>
                <c:pt idx="6">
                  <c:v>Захтеви</c:v>
                </c:pt>
                <c:pt idx="7">
                  <c:v>Kомуникација</c:v>
                </c:pt>
                <c:pt idx="8">
                  <c:v>Технички захтеви</c:v>
                </c:pt>
              </c:strCache>
            </c:strRef>
          </c:cat>
          <c:val>
            <c:numRef>
              <c:f>AnalizaIns!$D$2:$D$10</c:f>
              <c:numCache>
                <c:formatCode>0%</c:formatCode>
                <c:ptCount val="9"/>
                <c:pt idx="0">
                  <c:v>0.33333333333333331</c:v>
                </c:pt>
                <c:pt idx="1">
                  <c:v>0.7142857142857143</c:v>
                </c:pt>
                <c:pt idx="2">
                  <c:v>0.35714285714285715</c:v>
                </c:pt>
                <c:pt idx="3">
                  <c:v>0</c:v>
                </c:pt>
                <c:pt idx="4">
                  <c:v>0.5714285714285714</c:v>
                </c:pt>
                <c:pt idx="5">
                  <c:v>0</c:v>
                </c:pt>
                <c:pt idx="6">
                  <c:v>0</c:v>
                </c:pt>
                <c:pt idx="7">
                  <c:v>0.14285714285714285</c:v>
                </c:pt>
                <c:pt idx="8">
                  <c:v>0.33333333333333331</c:v>
                </c:pt>
              </c:numCache>
            </c:numRef>
          </c:val>
        </c:ser>
        <c:ser>
          <c:idx val="3"/>
          <c:order val="3"/>
          <c:tx>
            <c:strRef>
              <c:f>AnalizaIns!$E$1</c:f>
              <c:strCache>
                <c:ptCount val="1"/>
                <c:pt idx="0">
                  <c:v>Животна ср.</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cat>
            <c:strRef>
              <c:f>AnalizaIns!$A$2:$A$10</c:f>
              <c:strCache>
                <c:ptCount val="9"/>
                <c:pt idx="0">
                  <c:v>Основни елементи</c:v>
                </c:pt>
                <c:pt idx="1">
                  <c:v>О нама</c:v>
                </c:pt>
                <c:pt idx="2">
                  <c:v>Прописи</c:v>
                </c:pt>
                <c:pt idx="3">
                  <c:v>Планови рада</c:v>
                </c:pt>
                <c:pt idx="4">
                  <c:v>Контролне листе</c:v>
                </c:pt>
                <c:pt idx="5">
                  <c:v>Извештаји</c:v>
                </c:pt>
                <c:pt idx="6">
                  <c:v>Захтеви</c:v>
                </c:pt>
                <c:pt idx="7">
                  <c:v>Kомуникација</c:v>
                </c:pt>
                <c:pt idx="8">
                  <c:v>Технички захтеви</c:v>
                </c:pt>
              </c:strCache>
            </c:strRef>
          </c:cat>
          <c:val>
            <c:numRef>
              <c:f>AnalizaIns!$E$2:$E$10</c:f>
              <c:numCache>
                <c:formatCode>0%</c:formatCode>
                <c:ptCount val="9"/>
                <c:pt idx="0">
                  <c:v>0.33333333333333331</c:v>
                </c:pt>
                <c:pt idx="1">
                  <c:v>1</c:v>
                </c:pt>
                <c:pt idx="2">
                  <c:v>0.42857142857142855</c:v>
                </c:pt>
                <c:pt idx="3">
                  <c:v>0</c:v>
                </c:pt>
                <c:pt idx="4">
                  <c:v>0.5714285714285714</c:v>
                </c:pt>
                <c:pt idx="5">
                  <c:v>0</c:v>
                </c:pt>
                <c:pt idx="6">
                  <c:v>0</c:v>
                </c:pt>
                <c:pt idx="7">
                  <c:v>0</c:v>
                </c:pt>
                <c:pt idx="8">
                  <c:v>0.66666666666666663</c:v>
                </c:pt>
              </c:numCache>
            </c:numRef>
          </c:val>
        </c:ser>
        <c:ser>
          <c:idx val="4"/>
          <c:order val="4"/>
          <c:tx>
            <c:strRef>
              <c:f>AnalizaIns!$F$1</c:f>
              <c:strCache>
                <c:ptCount val="1"/>
                <c:pt idx="0">
                  <c:v>Управни</c:v>
                </c:pt>
              </c:strCache>
            </c:strRef>
          </c:tx>
          <c:spPr>
            <a:pattFill prst="narHorz">
              <a:fgClr>
                <a:schemeClr val="accent5"/>
              </a:fgClr>
              <a:bgClr>
                <a:schemeClr val="accent5">
                  <a:lumMod val="20000"/>
                  <a:lumOff val="80000"/>
                </a:schemeClr>
              </a:bgClr>
            </a:pattFill>
            <a:ln>
              <a:noFill/>
            </a:ln>
            <a:effectLst>
              <a:innerShdw blurRad="114300">
                <a:schemeClr val="accent5"/>
              </a:innerShdw>
            </a:effectLst>
          </c:spPr>
          <c:invertIfNegative val="0"/>
          <c:cat>
            <c:strRef>
              <c:f>AnalizaIns!$A$2:$A$10</c:f>
              <c:strCache>
                <c:ptCount val="9"/>
                <c:pt idx="0">
                  <c:v>Основни елементи</c:v>
                </c:pt>
                <c:pt idx="1">
                  <c:v>О нама</c:v>
                </c:pt>
                <c:pt idx="2">
                  <c:v>Прописи</c:v>
                </c:pt>
                <c:pt idx="3">
                  <c:v>Планови рада</c:v>
                </c:pt>
                <c:pt idx="4">
                  <c:v>Контролне листе</c:v>
                </c:pt>
                <c:pt idx="5">
                  <c:v>Извештаји</c:v>
                </c:pt>
                <c:pt idx="6">
                  <c:v>Захтеви</c:v>
                </c:pt>
                <c:pt idx="7">
                  <c:v>Kомуникација</c:v>
                </c:pt>
                <c:pt idx="8">
                  <c:v>Технички захтеви</c:v>
                </c:pt>
              </c:strCache>
            </c:strRef>
          </c:cat>
          <c:val>
            <c:numRef>
              <c:f>AnalizaIns!$F$2:$F$10</c:f>
              <c:numCache>
                <c:formatCode>0%</c:formatCode>
                <c:ptCount val="9"/>
                <c:pt idx="0">
                  <c:v>0.33333333333333331</c:v>
                </c:pt>
                <c:pt idx="1">
                  <c:v>1</c:v>
                </c:pt>
                <c:pt idx="2">
                  <c:v>0.6428571428571429</c:v>
                </c:pt>
                <c:pt idx="3">
                  <c:v>0</c:v>
                </c:pt>
                <c:pt idx="4">
                  <c:v>0.42857142857142855</c:v>
                </c:pt>
                <c:pt idx="5">
                  <c:v>0</c:v>
                </c:pt>
                <c:pt idx="6">
                  <c:v>0</c:v>
                </c:pt>
                <c:pt idx="7">
                  <c:v>0.14285714285714285</c:v>
                </c:pt>
                <c:pt idx="8">
                  <c:v>0.33333333333333331</c:v>
                </c:pt>
              </c:numCache>
            </c:numRef>
          </c:val>
        </c:ser>
        <c:ser>
          <c:idx val="5"/>
          <c:order val="5"/>
          <c:tx>
            <c:strRef>
              <c:f>AnalizaIns!$G$1</c:f>
              <c:strCache>
                <c:ptCount val="1"/>
                <c:pt idx="0">
                  <c:v>Санитарна</c:v>
                </c:pt>
              </c:strCache>
            </c:strRef>
          </c:tx>
          <c:spPr>
            <a:pattFill prst="narHorz">
              <a:fgClr>
                <a:schemeClr val="accent6"/>
              </a:fgClr>
              <a:bgClr>
                <a:schemeClr val="accent6">
                  <a:lumMod val="20000"/>
                  <a:lumOff val="80000"/>
                </a:schemeClr>
              </a:bgClr>
            </a:pattFill>
            <a:ln>
              <a:noFill/>
            </a:ln>
            <a:effectLst>
              <a:innerShdw blurRad="114300">
                <a:schemeClr val="accent6"/>
              </a:innerShdw>
            </a:effectLst>
          </c:spPr>
          <c:invertIfNegative val="0"/>
          <c:cat>
            <c:strRef>
              <c:f>AnalizaIns!$A$2:$A$10</c:f>
              <c:strCache>
                <c:ptCount val="9"/>
                <c:pt idx="0">
                  <c:v>Основни елементи</c:v>
                </c:pt>
                <c:pt idx="1">
                  <c:v>О нама</c:v>
                </c:pt>
                <c:pt idx="2">
                  <c:v>Прописи</c:v>
                </c:pt>
                <c:pt idx="3">
                  <c:v>Планови рада</c:v>
                </c:pt>
                <c:pt idx="4">
                  <c:v>Контролне листе</c:v>
                </c:pt>
                <c:pt idx="5">
                  <c:v>Извештаји</c:v>
                </c:pt>
                <c:pt idx="6">
                  <c:v>Захтеви</c:v>
                </c:pt>
                <c:pt idx="7">
                  <c:v>Kомуникација</c:v>
                </c:pt>
                <c:pt idx="8">
                  <c:v>Технички захтеви</c:v>
                </c:pt>
              </c:strCache>
            </c:strRef>
          </c:cat>
          <c:val>
            <c:numRef>
              <c:f>AnalizaIns!$G$2:$G$10</c:f>
              <c:numCache>
                <c:formatCode>0%</c:formatCode>
                <c:ptCount val="9"/>
                <c:pt idx="0">
                  <c:v>0.33333333333333331</c:v>
                </c:pt>
                <c:pt idx="1">
                  <c:v>0.5714285714285714</c:v>
                </c:pt>
                <c:pt idx="2">
                  <c:v>0.42857142857142855</c:v>
                </c:pt>
                <c:pt idx="3">
                  <c:v>0</c:v>
                </c:pt>
                <c:pt idx="4">
                  <c:v>0.5714285714285714</c:v>
                </c:pt>
                <c:pt idx="5">
                  <c:v>0</c:v>
                </c:pt>
                <c:pt idx="6">
                  <c:v>0</c:v>
                </c:pt>
                <c:pt idx="7">
                  <c:v>0.2857142857142857</c:v>
                </c:pt>
                <c:pt idx="8">
                  <c:v>0.33333333333333331</c:v>
                </c:pt>
              </c:numCache>
            </c:numRef>
          </c:val>
        </c:ser>
        <c:dLbls>
          <c:showLegendKey val="0"/>
          <c:showVal val="0"/>
          <c:showCatName val="0"/>
          <c:showSerName val="0"/>
          <c:showPercent val="0"/>
          <c:showBubbleSize val="0"/>
        </c:dLbls>
        <c:gapWidth val="219"/>
        <c:axId val="787532656"/>
        <c:axId val="787529936"/>
      </c:barChart>
      <c:lineChart>
        <c:grouping val="standard"/>
        <c:varyColors val="0"/>
        <c:ser>
          <c:idx val="6"/>
          <c:order val="6"/>
          <c:tx>
            <c:strRef>
              <c:f>AnalizaIns!$H$1</c:f>
              <c:strCache>
                <c:ptCount val="1"/>
                <c:pt idx="0">
                  <c:v>Укупно</c:v>
                </c:pt>
              </c:strCache>
            </c:strRef>
          </c:tx>
          <c:spPr>
            <a:ln w="28575" cap="rnd">
              <a:solidFill>
                <a:schemeClr val="accent1">
                  <a:lumMod val="60000"/>
                </a:schemeClr>
              </a:solidFill>
              <a:round/>
            </a:ln>
            <a:effectLst/>
          </c:spPr>
          <c:marker>
            <c:symbol val="none"/>
          </c:marker>
          <c:cat>
            <c:strRef>
              <c:f>AnalizaIns!$A$2:$A$10</c:f>
              <c:strCache>
                <c:ptCount val="9"/>
                <c:pt idx="0">
                  <c:v>Основни елементи</c:v>
                </c:pt>
                <c:pt idx="1">
                  <c:v>О нама</c:v>
                </c:pt>
                <c:pt idx="2">
                  <c:v>Прописи</c:v>
                </c:pt>
                <c:pt idx="3">
                  <c:v>Планови рада</c:v>
                </c:pt>
                <c:pt idx="4">
                  <c:v>Контролне листе</c:v>
                </c:pt>
                <c:pt idx="5">
                  <c:v>Извештаји</c:v>
                </c:pt>
                <c:pt idx="6">
                  <c:v>Захтеви</c:v>
                </c:pt>
                <c:pt idx="7">
                  <c:v>Kомуникација</c:v>
                </c:pt>
                <c:pt idx="8">
                  <c:v>Технички захтеви</c:v>
                </c:pt>
              </c:strCache>
            </c:strRef>
          </c:cat>
          <c:val>
            <c:numRef>
              <c:f>AnalizaIns!$H$2:$H$10</c:f>
              <c:numCache>
                <c:formatCode>0%</c:formatCode>
                <c:ptCount val="9"/>
                <c:pt idx="0">
                  <c:v>0.44444444444444448</c:v>
                </c:pt>
                <c:pt idx="1">
                  <c:v>0.88095238095238093</c:v>
                </c:pt>
                <c:pt idx="2">
                  <c:v>0.48809523809523808</c:v>
                </c:pt>
                <c:pt idx="3">
                  <c:v>0</c:v>
                </c:pt>
                <c:pt idx="4">
                  <c:v>0.54761904761904756</c:v>
                </c:pt>
                <c:pt idx="5">
                  <c:v>0.11904761904761903</c:v>
                </c:pt>
                <c:pt idx="6">
                  <c:v>0.22916666666666666</c:v>
                </c:pt>
                <c:pt idx="7">
                  <c:v>0.21428571428571427</c:v>
                </c:pt>
                <c:pt idx="8">
                  <c:v>0.52777777777777779</c:v>
                </c:pt>
              </c:numCache>
            </c:numRef>
          </c:val>
          <c:smooth val="0"/>
        </c:ser>
        <c:dLbls>
          <c:showLegendKey val="0"/>
          <c:showVal val="0"/>
          <c:showCatName val="0"/>
          <c:showSerName val="0"/>
          <c:showPercent val="0"/>
          <c:showBubbleSize val="0"/>
        </c:dLbls>
        <c:marker val="1"/>
        <c:smooth val="0"/>
        <c:axId val="787532656"/>
        <c:axId val="787529936"/>
      </c:lineChart>
      <c:catAx>
        <c:axId val="78753265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7529936"/>
        <c:crosses val="autoZero"/>
        <c:auto val="1"/>
        <c:lblAlgn val="ctr"/>
        <c:lblOffset val="100"/>
        <c:noMultiLvlLbl val="0"/>
      </c:catAx>
      <c:valAx>
        <c:axId val="787529936"/>
        <c:scaling>
          <c:orientation val="minMax"/>
        </c:scaling>
        <c:delete val="0"/>
        <c:axPos val="l"/>
        <c:majorGridlines>
          <c:spPr>
            <a:ln>
              <a:solidFill>
                <a:schemeClr val="tx1">
                  <a:lumMod val="15000"/>
                  <a:lumOff val="85000"/>
                </a:schemeClr>
              </a:solidFill>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7532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cap="flat" cmpd="sng" algn="ctr">
        <a:solidFill>
          <a:schemeClr val="tx1">
            <a:lumMod val="65000"/>
            <a:lumOff val="35000"/>
          </a:schemeClr>
        </a:solidFill>
        <a:round/>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15875" cap="flat" cmpd="sng" algn="ctr">
        <a:solidFill>
          <a:schemeClr val="tx1">
            <a:lumMod val="65000"/>
            <a:lumOff val="3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XI 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18E296-7973-40B0-B7CC-903633B39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3551</TotalTime>
  <Pages>18</Pages>
  <Words>5340</Words>
  <Characters>30444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Стручно-техничка основа (модел) за објављивање документације и информације инспекцијских служби</vt:lpstr>
    </vt:vector>
  </TitlesOfParts>
  <Company>IvIT</Company>
  <LinksUpToDate>false</LinksUpToDate>
  <CharactersWithSpaces>35713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Стручно-техничка основа (модел) за објављивање документације и информације инспекцијских служби</dc:title>
  <dc:subject>Пројекат: Унапређење унутрашње организације послова инспекција</dc:subject>
  <dc:creator>Аутор: Александар Ивић</dc:creator>
  <cp:keywords/>
  <dc:description/>
  <cp:lastModifiedBy>Aca Ivic</cp:lastModifiedBy>
  <cp:revision>95</cp:revision>
  <cp:lastPrinted>2016-11-28T14:23:00Z</cp:lastPrinted>
  <dcterms:created xsi:type="dcterms:W3CDTF">2016-11-01T17:54:00Z</dcterms:created>
  <dcterms:modified xsi:type="dcterms:W3CDTF">2016-12-03T17:38:00Z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zotero-version="4.0.29.15"&gt;&lt;session id="iIsUtjVh"/&gt;&lt;style id="http://www.zotero.org/styles/chicago-note-bibliography" locale="sr-RS" hasBibliography="1" bibliographyStyleHasBeenSet="1"/&gt;&lt;prefs&gt;&lt;pref name="fieldType" value="Field"/&gt;&lt;</vt:lpwstr>
  </property>
  <property fmtid="{D5CDD505-2E9C-101B-9397-08002B2CF9AE}" pid="3" name="ZOTERO_PREF_2">
    <vt:lpwstr>pref name="storeReferences" value="true"/&gt;&lt;pref name="automaticJournalAbbreviations" value="true"/&gt;&lt;pref name="noteType" value="1"/&gt;&lt;/prefs&gt;&lt;/data&gt;</vt:lpwstr>
  </property>
</Properties>
</file>